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DE4F" w14:textId="6FAA21D8" w:rsidR="001807D3" w:rsidRPr="00227427" w:rsidRDefault="001807D3" w:rsidP="001807D3">
      <w:pPr>
        <w:pStyle w:val="NormalnyWeb"/>
        <w:rPr>
          <w:rStyle w:val="Pogrubienie"/>
          <w:rFonts w:asciiTheme="minorHAnsi" w:hAnsiTheme="minorHAnsi" w:cstheme="minorHAnsi"/>
          <w:b w:val="0"/>
          <w:bCs w:val="0"/>
        </w:rPr>
      </w:pPr>
      <w:r w:rsidRPr="00227427">
        <w:rPr>
          <w:rStyle w:val="Pogrubienie"/>
          <w:rFonts w:asciiTheme="minorHAnsi" w:hAnsiTheme="minorHAnsi" w:cstheme="minorHAnsi"/>
          <w:b w:val="0"/>
          <w:bCs w:val="0"/>
        </w:rPr>
        <w:t xml:space="preserve">Grupa PSB, </w:t>
      </w:r>
      <w:r w:rsidR="00227427" w:rsidRPr="00227427">
        <w:rPr>
          <w:rStyle w:val="Pogrubienie"/>
          <w:rFonts w:asciiTheme="minorHAnsi" w:hAnsiTheme="minorHAnsi" w:cstheme="minorHAnsi"/>
          <w:b w:val="0"/>
          <w:bCs w:val="0"/>
        </w:rPr>
        <w:t>10.03.</w:t>
      </w:r>
      <w:r w:rsidRPr="00227427">
        <w:rPr>
          <w:rStyle w:val="Pogrubienie"/>
          <w:rFonts w:asciiTheme="minorHAnsi" w:hAnsiTheme="minorHAnsi" w:cstheme="minorHAnsi"/>
          <w:b w:val="0"/>
          <w:bCs w:val="0"/>
        </w:rPr>
        <w:t xml:space="preserve">2026 r. </w:t>
      </w:r>
    </w:p>
    <w:p w14:paraId="406A25EB" w14:textId="65B48339" w:rsidR="001807D3" w:rsidRPr="00227427" w:rsidRDefault="001807D3" w:rsidP="00912265">
      <w:pPr>
        <w:pStyle w:val="NormalnyWeb"/>
        <w:jc w:val="both"/>
        <w:rPr>
          <w:rFonts w:asciiTheme="minorHAnsi" w:hAnsiTheme="minorHAnsi" w:cstheme="minorHAnsi"/>
        </w:rPr>
      </w:pPr>
      <w:r w:rsidRPr="00227427">
        <w:rPr>
          <w:rStyle w:val="Pogrubienie"/>
          <w:rFonts w:asciiTheme="minorHAnsi" w:hAnsiTheme="minorHAnsi" w:cstheme="minorHAnsi"/>
        </w:rPr>
        <w:t>Grupa PSB przyspiesza - 24. Targi w Kielcach pokazały skalę rynku i now</w:t>
      </w:r>
      <w:r w:rsidR="00924D0C" w:rsidRPr="00227427">
        <w:rPr>
          <w:rStyle w:val="Pogrubienie"/>
          <w:rFonts w:asciiTheme="minorHAnsi" w:hAnsiTheme="minorHAnsi" w:cstheme="minorHAnsi"/>
        </w:rPr>
        <w:t xml:space="preserve">ą </w:t>
      </w:r>
      <w:r w:rsidR="00912265" w:rsidRPr="00227427">
        <w:rPr>
          <w:rStyle w:val="Pogrubienie"/>
          <w:rFonts w:asciiTheme="minorHAnsi" w:hAnsiTheme="minorHAnsi" w:cstheme="minorHAnsi"/>
        </w:rPr>
        <w:t xml:space="preserve">strategię </w:t>
      </w:r>
    </w:p>
    <w:p w14:paraId="001363FB" w14:textId="1836CA7D" w:rsidR="00D86471" w:rsidRPr="00227427" w:rsidRDefault="001807D3" w:rsidP="00D86471">
      <w:pPr>
        <w:pStyle w:val="NormalnyWeb"/>
        <w:jc w:val="both"/>
        <w:rPr>
          <w:rFonts w:asciiTheme="minorHAnsi" w:hAnsiTheme="minorHAnsi" w:cstheme="minorHAnsi"/>
        </w:rPr>
      </w:pPr>
      <w:r w:rsidRPr="00227427">
        <w:rPr>
          <w:rFonts w:asciiTheme="minorHAnsi" w:hAnsiTheme="minorHAnsi" w:cstheme="minorHAnsi"/>
          <w:b/>
          <w:bCs/>
        </w:rPr>
        <w:t>W dniach 2</w:t>
      </w:r>
      <w:r w:rsidR="004A628A" w:rsidRPr="00227427">
        <w:rPr>
          <w:rFonts w:asciiTheme="minorHAnsi" w:hAnsiTheme="minorHAnsi" w:cstheme="minorHAnsi"/>
          <w:b/>
          <w:bCs/>
        </w:rPr>
        <w:t>4</w:t>
      </w:r>
      <w:r w:rsidRPr="00227427">
        <w:rPr>
          <w:rFonts w:asciiTheme="minorHAnsi" w:hAnsiTheme="minorHAnsi" w:cstheme="minorHAnsi"/>
          <w:b/>
          <w:bCs/>
        </w:rPr>
        <w:t>–25 lutego w Kielcach odbyły się 24. Targi Grupy PSB połączone</w:t>
      </w:r>
      <w:r w:rsidR="00D86471" w:rsidRPr="00227427">
        <w:rPr>
          <w:rFonts w:asciiTheme="minorHAnsi" w:hAnsiTheme="minorHAnsi" w:cstheme="minorHAnsi"/>
          <w:b/>
          <w:bCs/>
        </w:rPr>
        <w:br/>
      </w:r>
      <w:r w:rsidRPr="00227427">
        <w:rPr>
          <w:rFonts w:asciiTheme="minorHAnsi" w:hAnsiTheme="minorHAnsi" w:cstheme="minorHAnsi"/>
          <w:b/>
          <w:bCs/>
        </w:rPr>
        <w:t xml:space="preserve">z konferencją dla </w:t>
      </w:r>
      <w:r w:rsidR="004A628A" w:rsidRPr="00227427">
        <w:rPr>
          <w:rFonts w:asciiTheme="minorHAnsi" w:hAnsiTheme="minorHAnsi" w:cstheme="minorHAnsi"/>
          <w:b/>
          <w:bCs/>
        </w:rPr>
        <w:t>P</w:t>
      </w:r>
      <w:r w:rsidRPr="00227427">
        <w:rPr>
          <w:rFonts w:asciiTheme="minorHAnsi" w:hAnsiTheme="minorHAnsi" w:cstheme="minorHAnsi"/>
          <w:b/>
          <w:bCs/>
        </w:rPr>
        <w:t>artnerów</w:t>
      </w:r>
      <w:r w:rsidR="004A628A" w:rsidRPr="00227427">
        <w:rPr>
          <w:rFonts w:asciiTheme="minorHAnsi" w:hAnsiTheme="minorHAnsi" w:cstheme="minorHAnsi"/>
          <w:b/>
          <w:bCs/>
        </w:rPr>
        <w:t xml:space="preserve"> i Dostawców.</w:t>
      </w:r>
      <w:r w:rsidRPr="00227427">
        <w:rPr>
          <w:rFonts w:asciiTheme="minorHAnsi" w:hAnsiTheme="minorHAnsi" w:cstheme="minorHAnsi"/>
          <w:b/>
          <w:bCs/>
        </w:rPr>
        <w:t xml:space="preserve"> W części konferencyjnej podsumowano rok 2025 i zaprezentowano strategię na kolejne trzy lata, a w trakcie samych targów zawarto kontrakty o łącznej wartości </w:t>
      </w:r>
      <w:r w:rsidR="00165CB2" w:rsidRPr="00227427">
        <w:rPr>
          <w:rFonts w:asciiTheme="minorHAnsi" w:hAnsiTheme="minorHAnsi" w:cstheme="minorHAnsi"/>
          <w:b/>
          <w:bCs/>
        </w:rPr>
        <w:t>460 mln</w:t>
      </w:r>
      <w:r w:rsidRPr="00227427">
        <w:rPr>
          <w:rStyle w:val="Pogrubienie"/>
          <w:rFonts w:asciiTheme="minorHAnsi" w:hAnsiTheme="minorHAnsi" w:cstheme="minorHAnsi"/>
        </w:rPr>
        <w:t xml:space="preserve"> zł</w:t>
      </w:r>
      <w:r w:rsidRPr="00227427">
        <w:rPr>
          <w:rFonts w:asciiTheme="minorHAnsi" w:hAnsiTheme="minorHAnsi" w:cstheme="minorHAnsi"/>
        </w:rPr>
        <w:t>.</w:t>
      </w:r>
      <w:r w:rsidRPr="00227427">
        <w:rPr>
          <w:rFonts w:asciiTheme="minorHAnsi" w:hAnsiTheme="minorHAnsi" w:cstheme="minorHAnsi"/>
          <w:b/>
          <w:bCs/>
        </w:rPr>
        <w:t xml:space="preserve"> </w:t>
      </w:r>
      <w:r w:rsidR="00D86471" w:rsidRPr="00227427">
        <w:rPr>
          <w:rFonts w:asciiTheme="minorHAnsi" w:hAnsiTheme="minorHAnsi" w:cstheme="minorHAnsi"/>
          <w:b/>
          <w:bCs/>
        </w:rPr>
        <w:t>Targi w Kielcach to nie tylko wydarzenie branżowe, ale realny barometr rynku, na którym widać skalę zawieranych umów</w:t>
      </w:r>
      <w:r w:rsidR="00D86471" w:rsidRPr="00227427">
        <w:rPr>
          <w:rFonts w:asciiTheme="minorHAnsi" w:hAnsiTheme="minorHAnsi" w:cstheme="minorHAnsi"/>
          <w:b/>
          <w:bCs/>
        </w:rPr>
        <w:br/>
        <w:t>i nastroje zakupowe na kolejne kwartały.</w:t>
      </w:r>
    </w:p>
    <w:p w14:paraId="2A45FCF4" w14:textId="6DF1AE3F" w:rsidR="001807D3" w:rsidRPr="00227427" w:rsidRDefault="001807D3" w:rsidP="005F5212">
      <w:pPr>
        <w:pStyle w:val="NormalnyWeb"/>
        <w:jc w:val="both"/>
        <w:rPr>
          <w:rFonts w:asciiTheme="minorHAnsi" w:hAnsiTheme="minorHAnsi" w:cstheme="minorHAnsi"/>
        </w:rPr>
      </w:pPr>
      <w:r w:rsidRPr="00227427">
        <w:rPr>
          <w:rFonts w:asciiTheme="minorHAnsi" w:hAnsiTheme="minorHAnsi" w:cstheme="minorHAnsi"/>
        </w:rPr>
        <w:t xml:space="preserve">Rok 2025 Grupa PSB zamknęła przychodami na poziomie 9,3 mld zł, z czego ponad 4,4 mld zł wygenerowała centrala. </w:t>
      </w:r>
      <w:r w:rsidR="001D5E34" w:rsidRPr="00227427">
        <w:rPr>
          <w:rFonts w:asciiTheme="minorHAnsi" w:hAnsiTheme="minorHAnsi" w:cstheme="minorHAnsi"/>
        </w:rPr>
        <w:t>Grupa</w:t>
      </w:r>
      <w:r w:rsidRPr="00227427">
        <w:rPr>
          <w:rFonts w:asciiTheme="minorHAnsi" w:hAnsiTheme="minorHAnsi" w:cstheme="minorHAnsi"/>
        </w:rPr>
        <w:t xml:space="preserve"> skupia dziś 412 partnerów i 755 placówek, w tym 42 nowe otwarcia w ostatnim roku. Sieć jest obecna w 324 powiatach, obejmując </w:t>
      </w:r>
      <w:r w:rsidR="00165CB2" w:rsidRPr="00227427">
        <w:rPr>
          <w:rFonts w:asciiTheme="minorHAnsi" w:hAnsiTheme="minorHAnsi" w:cstheme="minorHAnsi"/>
        </w:rPr>
        <w:t xml:space="preserve">ok. </w:t>
      </w:r>
      <w:r w:rsidRPr="00227427">
        <w:rPr>
          <w:rFonts w:asciiTheme="minorHAnsi" w:hAnsiTheme="minorHAnsi" w:cstheme="minorHAnsi"/>
        </w:rPr>
        <w:t>90 proc. terytorium kraju</w:t>
      </w:r>
      <w:r w:rsidR="001D5E34" w:rsidRPr="00227427">
        <w:rPr>
          <w:rFonts w:asciiTheme="minorHAnsi" w:hAnsiTheme="minorHAnsi" w:cstheme="minorHAnsi"/>
        </w:rPr>
        <w:t>.</w:t>
      </w:r>
    </w:p>
    <w:p w14:paraId="30385097" w14:textId="05D1A28E" w:rsidR="001807D3" w:rsidRPr="00227427" w:rsidRDefault="001807D3" w:rsidP="007C75CA">
      <w:pPr>
        <w:pStyle w:val="NormalnyWeb"/>
        <w:jc w:val="both"/>
        <w:rPr>
          <w:rFonts w:asciiTheme="minorHAnsi" w:hAnsiTheme="minorHAnsi" w:cstheme="minorHAnsi"/>
        </w:rPr>
      </w:pPr>
      <w:r w:rsidRPr="00227427">
        <w:rPr>
          <w:rFonts w:asciiTheme="minorHAnsi" w:hAnsiTheme="minorHAnsi" w:cstheme="minorHAnsi"/>
        </w:rPr>
        <w:t xml:space="preserve">Na tle rynku widać wyraźne rozwarstwienie kanałów. Segment DIY pozostaje silnie skoncentrowany, pięciu największych graczy kontroluje 93 proc. udziałów. </w:t>
      </w:r>
      <w:r w:rsidR="00750D44" w:rsidRPr="00227427">
        <w:rPr>
          <w:rFonts w:asciiTheme="minorHAnsi" w:hAnsiTheme="minorHAnsi" w:cstheme="minorHAnsi"/>
        </w:rPr>
        <w:t xml:space="preserve">Grupa PSB Handel S.A. jako jedyny polska firma, </w:t>
      </w:r>
      <w:r w:rsidR="00025F3C" w:rsidRPr="00227427">
        <w:rPr>
          <w:rFonts w:asciiTheme="minorHAnsi" w:hAnsiTheme="minorHAnsi" w:cstheme="minorHAnsi"/>
        </w:rPr>
        <w:t xml:space="preserve">ze sklepami Mrówka odpowiada za 13% rynku. </w:t>
      </w:r>
      <w:r w:rsidRPr="00227427">
        <w:rPr>
          <w:rFonts w:asciiTheme="minorHAnsi" w:hAnsiTheme="minorHAnsi" w:cstheme="minorHAnsi"/>
        </w:rPr>
        <w:t>Struktura całego rynku pokazuje, że DIY odpowiada za 46,8 proc. dystrybucji, składy budowlane za 38,6 proc., a pozostałe formaty za 14,6 proc.</w:t>
      </w:r>
      <w:r w:rsidR="007C75CA" w:rsidRPr="00227427">
        <w:rPr>
          <w:rFonts w:asciiTheme="minorHAnsi" w:hAnsiTheme="minorHAnsi" w:cstheme="minorHAnsi"/>
        </w:rPr>
        <w:t xml:space="preserve"> </w:t>
      </w:r>
      <w:r w:rsidRPr="00227427">
        <w:rPr>
          <w:rFonts w:asciiTheme="minorHAnsi" w:hAnsiTheme="minorHAnsi" w:cstheme="minorHAnsi"/>
        </w:rPr>
        <w:t>W danych produktowych widać przesunięcia popytu. Największe wzrosty w 2025 roku dotyczyły płyty OSB i drewna, gdzie dynamika sięgnęła 22 proc., oraz izolacji termicznych i suchej zabudowy, rosnących w okolicach 9–10 proc. Spadki objęły m.in. cement, wapno i izolacje wodochronne. To obraz rynku coraz silniej powiązanego z modernizacją, termomodernizacją i remontami, a nie wyłącznie z dużymi inwestycjami deweloperskimi.</w:t>
      </w:r>
    </w:p>
    <w:p w14:paraId="5B33F769" w14:textId="6ED8F400" w:rsidR="001807D3" w:rsidRPr="00227427" w:rsidRDefault="001807D3" w:rsidP="00326635">
      <w:pPr>
        <w:pStyle w:val="NormalnyWeb"/>
        <w:jc w:val="both"/>
        <w:rPr>
          <w:rFonts w:asciiTheme="minorHAnsi" w:hAnsiTheme="minorHAnsi" w:cstheme="minorHAnsi"/>
        </w:rPr>
      </w:pPr>
      <w:r w:rsidRPr="00227427">
        <w:rPr>
          <w:rFonts w:asciiTheme="minorHAnsi" w:hAnsiTheme="minorHAnsi" w:cstheme="minorHAnsi"/>
        </w:rPr>
        <w:t xml:space="preserve">W warstwie strategicznej Grupa zapowiada ewolucję modelu w kierunku </w:t>
      </w:r>
      <w:r w:rsidR="00326635" w:rsidRPr="00227427">
        <w:rPr>
          <w:rFonts w:asciiTheme="minorHAnsi" w:hAnsiTheme="minorHAnsi" w:cstheme="minorHAnsi"/>
        </w:rPr>
        <w:t>„</w:t>
      </w:r>
      <w:r w:rsidRPr="00227427">
        <w:rPr>
          <w:rFonts w:asciiTheme="minorHAnsi" w:hAnsiTheme="minorHAnsi" w:cstheme="minorHAnsi"/>
          <w:b/>
          <w:bCs/>
        </w:rPr>
        <w:t xml:space="preserve">Federacji </w:t>
      </w:r>
      <w:r w:rsidR="00326635" w:rsidRPr="00227427">
        <w:rPr>
          <w:rFonts w:asciiTheme="minorHAnsi" w:hAnsiTheme="minorHAnsi" w:cstheme="minorHAnsi"/>
          <w:b/>
          <w:bCs/>
        </w:rPr>
        <w:t>w</w:t>
      </w:r>
      <w:r w:rsidRPr="00227427">
        <w:rPr>
          <w:rFonts w:asciiTheme="minorHAnsi" w:hAnsiTheme="minorHAnsi" w:cstheme="minorHAnsi"/>
          <w:b/>
          <w:bCs/>
        </w:rPr>
        <w:t>łaścicieli</w:t>
      </w:r>
      <w:r w:rsidR="00326635" w:rsidRPr="00227427">
        <w:rPr>
          <w:rFonts w:asciiTheme="minorHAnsi" w:hAnsiTheme="minorHAnsi" w:cstheme="minorHAnsi"/>
          <w:b/>
          <w:bCs/>
        </w:rPr>
        <w:t>”</w:t>
      </w:r>
      <w:r w:rsidRPr="00227427">
        <w:rPr>
          <w:rFonts w:asciiTheme="minorHAnsi" w:hAnsiTheme="minorHAnsi" w:cstheme="minorHAnsi"/>
          <w:b/>
          <w:bCs/>
        </w:rPr>
        <w:t>.</w:t>
      </w:r>
      <w:r w:rsidRPr="00227427">
        <w:rPr>
          <w:rFonts w:asciiTheme="minorHAnsi" w:hAnsiTheme="minorHAnsi" w:cstheme="minorHAnsi"/>
        </w:rPr>
        <w:t xml:space="preserve"> Nie jest to zmiana strukturalna, lecz zmiana sposobu myślenia o wspólnym działaniu</w:t>
      </w:r>
      <w:r w:rsidRPr="00227427">
        <w:rPr>
          <w:rFonts w:asciiTheme="minorHAnsi" w:hAnsiTheme="minorHAnsi" w:cstheme="minorHAnsi"/>
          <w:b/>
          <w:bCs/>
        </w:rPr>
        <w:t xml:space="preserve">. Partnerzy pozostają niezależnymi przedsiębiorcami, natomiast centrala wzmacnia rolę </w:t>
      </w:r>
      <w:proofErr w:type="spellStart"/>
      <w:r w:rsidRPr="00227427">
        <w:rPr>
          <w:rFonts w:asciiTheme="minorHAnsi" w:hAnsiTheme="minorHAnsi" w:cstheme="minorHAnsi"/>
          <w:b/>
          <w:bCs/>
        </w:rPr>
        <w:t>hubu</w:t>
      </w:r>
      <w:proofErr w:type="spellEnd"/>
      <w:r w:rsidRPr="00227427">
        <w:rPr>
          <w:rFonts w:asciiTheme="minorHAnsi" w:hAnsiTheme="minorHAnsi" w:cstheme="minorHAnsi"/>
          <w:b/>
          <w:bCs/>
        </w:rPr>
        <w:t xml:space="preserve"> dostarczającego skalę, standard, narzędzia i bezpieczeństwo operacyjne. Cel jest jasno zdefiniowany: 20 proc. udziału w rynku do 2030 roku.</w:t>
      </w:r>
      <w:r w:rsidRPr="00227427">
        <w:rPr>
          <w:rFonts w:asciiTheme="minorHAnsi" w:hAnsiTheme="minorHAnsi" w:cstheme="minorHAnsi"/>
        </w:rPr>
        <w:t xml:space="preserve"> Realizacji ma służyć </w:t>
      </w:r>
      <w:r w:rsidRPr="00227427">
        <w:rPr>
          <w:rFonts w:asciiTheme="minorHAnsi" w:hAnsiTheme="minorHAnsi" w:cstheme="minorHAnsi"/>
          <w:b/>
          <w:bCs/>
        </w:rPr>
        <w:t>siedem portfeli strategicznych obejmujących ponad 200 projektów</w:t>
      </w:r>
      <w:r w:rsidR="00326635" w:rsidRPr="00227427">
        <w:rPr>
          <w:rFonts w:asciiTheme="minorHAnsi" w:hAnsiTheme="minorHAnsi" w:cstheme="minorHAnsi"/>
        </w:rPr>
        <w:t>.</w:t>
      </w:r>
    </w:p>
    <w:p w14:paraId="73A76729" w14:textId="4DD86DFF" w:rsidR="001807D3" w:rsidRPr="00227427" w:rsidRDefault="001807D3" w:rsidP="006422E1">
      <w:pPr>
        <w:pStyle w:val="NormalnyWeb"/>
        <w:jc w:val="both"/>
        <w:rPr>
          <w:rFonts w:asciiTheme="minorHAnsi" w:hAnsiTheme="minorHAnsi" w:cstheme="minorHAnsi"/>
        </w:rPr>
      </w:pPr>
      <w:r w:rsidRPr="00227427">
        <w:rPr>
          <w:rFonts w:asciiTheme="minorHAnsi" w:hAnsiTheme="minorHAnsi" w:cstheme="minorHAnsi"/>
        </w:rPr>
        <w:t xml:space="preserve">Istotnym kierunkiem, który wybrzmiał podczas konferencji, jest zwrot w stronę modelu </w:t>
      </w:r>
      <w:r w:rsidRPr="00227427">
        <w:rPr>
          <w:rFonts w:asciiTheme="minorHAnsi" w:hAnsiTheme="minorHAnsi" w:cstheme="minorHAnsi"/>
          <w:b/>
          <w:bCs/>
        </w:rPr>
        <w:t>DIFM, czyli Do It For Me</w:t>
      </w:r>
      <w:r w:rsidR="006422E1" w:rsidRPr="00227427">
        <w:rPr>
          <w:rFonts w:asciiTheme="minorHAnsi" w:hAnsiTheme="minorHAnsi" w:cstheme="minorHAnsi"/>
          <w:b/>
          <w:bCs/>
        </w:rPr>
        <w:t xml:space="preserve"> (Zrób to za mnie)</w:t>
      </w:r>
      <w:r w:rsidRPr="00227427">
        <w:rPr>
          <w:rFonts w:asciiTheme="minorHAnsi" w:hAnsiTheme="minorHAnsi" w:cstheme="minorHAnsi"/>
          <w:b/>
          <w:bCs/>
        </w:rPr>
        <w:t xml:space="preserve">. </w:t>
      </w:r>
      <w:r w:rsidRPr="00227427">
        <w:rPr>
          <w:rFonts w:asciiTheme="minorHAnsi" w:hAnsiTheme="minorHAnsi" w:cstheme="minorHAnsi"/>
        </w:rPr>
        <w:t>PSB zakłada rozwój pełnej skali usług wokół produktu, od doradztwa i projektowania, przez wsparcie wykonawcze, po rozwiązania ułatwiające obsługę inwestycji w modelu kompleksowym. W realiach rosnącej konkurencji cenowej to właśnie zakres usług i jakość obsługi mają budować trwałą przewagę.</w:t>
      </w:r>
    </w:p>
    <w:p w14:paraId="782D7EEF" w14:textId="37E9AC35" w:rsidR="001807D3" w:rsidRPr="00227427" w:rsidRDefault="001807D3" w:rsidP="00113EF4">
      <w:pPr>
        <w:pStyle w:val="NormalnyWeb"/>
        <w:jc w:val="both"/>
        <w:rPr>
          <w:rFonts w:asciiTheme="minorHAnsi" w:hAnsiTheme="minorHAnsi" w:cstheme="minorHAnsi"/>
        </w:rPr>
      </w:pPr>
      <w:r w:rsidRPr="00227427">
        <w:rPr>
          <w:rFonts w:asciiTheme="minorHAnsi" w:hAnsiTheme="minorHAnsi" w:cstheme="minorHAnsi"/>
        </w:rPr>
        <w:t xml:space="preserve">Grupa zapowiada również kontynuację komunikacji w duchu </w:t>
      </w:r>
      <w:r w:rsidRPr="00227427">
        <w:rPr>
          <w:rFonts w:asciiTheme="minorHAnsi" w:hAnsiTheme="minorHAnsi" w:cstheme="minorHAnsi"/>
          <w:b/>
          <w:bCs/>
        </w:rPr>
        <w:t>lokalności i polskości,</w:t>
      </w:r>
      <w:r w:rsidRPr="00227427">
        <w:rPr>
          <w:rFonts w:asciiTheme="minorHAnsi" w:hAnsiTheme="minorHAnsi" w:cstheme="minorHAnsi"/>
        </w:rPr>
        <w:t xml:space="preserve"> podkreślając, że jej siłą są przedsiębiorcy działający w setkach miast i powiatów. Efektem jest ogólnopolska kampania reklamowa obecna w telewizji i radiu, której celem jest wzmocnienie rozpoznawalności marki i jej tożsamości</w:t>
      </w:r>
      <w:r w:rsidR="00113EF4" w:rsidRPr="00227427">
        <w:rPr>
          <w:rFonts w:asciiTheme="minorHAnsi" w:hAnsiTheme="minorHAnsi" w:cstheme="minorHAnsi"/>
        </w:rPr>
        <w:t>.</w:t>
      </w:r>
    </w:p>
    <w:p w14:paraId="046B9E60" w14:textId="77777777" w:rsidR="001807D3" w:rsidRPr="00227427" w:rsidRDefault="001807D3" w:rsidP="00D05B24">
      <w:pPr>
        <w:pStyle w:val="NormalnyWeb"/>
        <w:jc w:val="both"/>
        <w:rPr>
          <w:rFonts w:asciiTheme="minorHAnsi" w:hAnsiTheme="minorHAnsi" w:cstheme="minorHAnsi"/>
        </w:rPr>
      </w:pPr>
      <w:r w:rsidRPr="00227427">
        <w:rPr>
          <w:rFonts w:asciiTheme="minorHAnsi" w:hAnsiTheme="minorHAnsi" w:cstheme="minorHAnsi"/>
        </w:rPr>
        <w:lastRenderedPageBreak/>
        <w:t>Dla mediów branżowych kluczowy pozostaje wniosek z Kielc: skala, standaryzacja i rozszerzenie modelu w stronę usług DIFM stają się głównymi dźwigniami konkurencyjności. PSB deklaruje, że w najbliższych latach będzie budować przewagę nie tylko wolumenem, ale również zakresem i jakością oferowanego ekosystemu.</w:t>
      </w:r>
    </w:p>
    <w:p w14:paraId="388B6B33" w14:textId="77777777" w:rsidR="00227427" w:rsidRPr="00DA603A" w:rsidRDefault="00227427" w:rsidP="00227427">
      <w:pPr>
        <w:pStyle w:val="Tekstpodstawowy"/>
        <w:rPr>
          <w:rFonts w:ascii="Calibri" w:hAnsi="Calibri" w:cs="Calibri"/>
          <w:color w:val="auto"/>
          <w:sz w:val="24"/>
          <w:szCs w:val="24"/>
          <w:lang w:val="en-US"/>
        </w:rPr>
      </w:pPr>
      <w:r w:rsidRPr="00DA603A">
        <w:rPr>
          <w:rFonts w:ascii="Calibri" w:hAnsi="Calibri" w:cs="Calibri"/>
          <w:color w:val="auto"/>
          <w:sz w:val="24"/>
          <w:szCs w:val="24"/>
          <w:lang w:val="en-US"/>
        </w:rPr>
        <w:t>Marzena Mysior-Syczuk</w:t>
      </w:r>
    </w:p>
    <w:p w14:paraId="579C5C04" w14:textId="77777777" w:rsidR="00227427" w:rsidRPr="00DA603A" w:rsidRDefault="00227427" w:rsidP="00227427">
      <w:pPr>
        <w:pStyle w:val="Tekstpodstawowy"/>
        <w:rPr>
          <w:rFonts w:ascii="Calibri" w:hAnsi="Calibri" w:cs="Calibri"/>
          <w:color w:val="auto"/>
          <w:sz w:val="24"/>
          <w:szCs w:val="24"/>
          <w:lang w:val="en-US" w:eastAsia="en-US"/>
        </w:rPr>
      </w:pPr>
      <w:r w:rsidRPr="00DA603A">
        <w:rPr>
          <w:rFonts w:ascii="Calibri" w:hAnsi="Calibri" w:cs="Calibri"/>
          <w:color w:val="auto"/>
          <w:sz w:val="24"/>
          <w:szCs w:val="24"/>
          <w:lang w:val="en-US" w:eastAsia="en-US"/>
        </w:rPr>
        <w:t>Senior Public Relations Specialist</w:t>
      </w:r>
    </w:p>
    <w:p w14:paraId="2482F326" w14:textId="77777777" w:rsidR="00227427" w:rsidRPr="00DA603A" w:rsidRDefault="00227427" w:rsidP="00227427">
      <w:pPr>
        <w:pStyle w:val="Tekstpodstawowy"/>
        <w:rPr>
          <w:rFonts w:ascii="Calibri" w:hAnsi="Calibri" w:cs="Calibri"/>
          <w:color w:val="auto"/>
          <w:sz w:val="24"/>
          <w:szCs w:val="24"/>
        </w:rPr>
      </w:pPr>
      <w:r w:rsidRPr="00DA603A">
        <w:rPr>
          <w:rFonts w:ascii="Calibri" w:hAnsi="Calibri" w:cs="Calibri"/>
          <w:color w:val="auto"/>
          <w:sz w:val="24"/>
          <w:szCs w:val="24"/>
        </w:rPr>
        <w:t>Grupa PSB Handel S.A.</w:t>
      </w:r>
    </w:p>
    <w:p w14:paraId="4EB6CFA5" w14:textId="77777777" w:rsidR="00227427" w:rsidRPr="00DA603A" w:rsidRDefault="00227427" w:rsidP="00227427">
      <w:pPr>
        <w:pStyle w:val="Stopka"/>
        <w:jc w:val="both"/>
        <w:rPr>
          <w:rFonts w:ascii="Calibri" w:hAnsi="Calibri" w:cs="Calibri"/>
          <w:i/>
          <w:lang w:val="en-US"/>
        </w:rPr>
      </w:pPr>
      <w:r w:rsidRPr="00DA603A">
        <w:rPr>
          <w:rFonts w:ascii="Calibri" w:hAnsi="Calibri" w:cs="Calibri"/>
          <w:i/>
          <w:lang w:val="en-US"/>
        </w:rPr>
        <w:t xml:space="preserve">tel. +48 41 / 378 52 23, 608 517 617, </w:t>
      </w:r>
    </w:p>
    <w:p w14:paraId="5648DAC9" w14:textId="77777777" w:rsidR="00227427" w:rsidRPr="00DA603A" w:rsidRDefault="00227427" w:rsidP="00227427">
      <w:pPr>
        <w:pStyle w:val="Stopka"/>
        <w:jc w:val="both"/>
        <w:rPr>
          <w:rFonts w:ascii="Calibri" w:hAnsi="Calibri" w:cs="Calibri"/>
          <w:i/>
          <w:lang w:val="fr-FR"/>
        </w:rPr>
      </w:pPr>
      <w:r w:rsidRPr="00DA603A">
        <w:rPr>
          <w:rFonts w:ascii="Calibri" w:hAnsi="Calibri" w:cs="Calibri"/>
          <w:i/>
          <w:lang w:val="fr-FR"/>
        </w:rPr>
        <w:t xml:space="preserve">e-mail: </w:t>
      </w:r>
      <w:r>
        <w:fldChar w:fldCharType="begin"/>
      </w:r>
      <w:r>
        <w:instrText>HYPERLINK "mailto:Marzena.Syczuk@centralapsb.pl"</w:instrText>
      </w:r>
      <w:r>
        <w:fldChar w:fldCharType="separate"/>
      </w:r>
      <w:r w:rsidRPr="00DA603A">
        <w:rPr>
          <w:rStyle w:val="Hipercze"/>
          <w:rFonts w:ascii="Calibri" w:eastAsiaTheme="majorEastAsia" w:hAnsi="Calibri" w:cs="Calibri"/>
          <w:i/>
          <w:lang w:val="fr-FR"/>
        </w:rPr>
        <w:t>Marzena.Syczuk@centralapsb.pl</w:t>
      </w:r>
      <w:r>
        <w:fldChar w:fldCharType="end"/>
      </w:r>
    </w:p>
    <w:p w14:paraId="36D64A2A" w14:textId="77777777" w:rsidR="00812588" w:rsidRDefault="00812588" w:rsidP="001807D3">
      <w:pPr>
        <w:rPr>
          <w:rFonts w:asciiTheme="minorHAnsi" w:hAnsiTheme="minorHAnsi" w:cstheme="minorHAnsi"/>
        </w:rPr>
      </w:pPr>
    </w:p>
    <w:p w14:paraId="39C0C56B" w14:textId="77777777" w:rsidR="00227427" w:rsidRPr="00F47BDF" w:rsidRDefault="00227427" w:rsidP="00227427">
      <w:pPr>
        <w:rPr>
          <w:rFonts w:cstheme="minorHAnsi"/>
          <w:b/>
          <w:i/>
          <w:u w:val="single"/>
        </w:rPr>
      </w:pPr>
      <w:r w:rsidRPr="00F47BDF">
        <w:rPr>
          <w:rFonts w:cstheme="minorHAnsi"/>
          <w:b/>
          <w:i/>
          <w:u w:val="single"/>
        </w:rPr>
        <w:t>Grupa PSB Handel S.A.</w:t>
      </w:r>
    </w:p>
    <w:p w14:paraId="33627489" w14:textId="77777777" w:rsidR="00227427" w:rsidRPr="00F47BDF" w:rsidRDefault="00227427" w:rsidP="00227427">
      <w:pPr>
        <w:rPr>
          <w:rFonts w:cstheme="minorHAnsi"/>
          <w:i/>
        </w:rPr>
      </w:pPr>
      <w:r w:rsidRPr="00F47BDF">
        <w:rPr>
          <w:rFonts w:cstheme="minorHAnsi"/>
          <w:i/>
        </w:rPr>
        <w:t xml:space="preserve">Grupa PSB Handel S.A. z siedzibą w Wełczu k./Buska-Zdroju, działa na rynku od ponad 27 </w:t>
      </w:r>
      <w:r w:rsidRPr="00F47BDF">
        <w:rPr>
          <w:rFonts w:cstheme="minorHAnsi"/>
          <w:bCs/>
          <w:i/>
        </w:rPr>
        <w:t>lat. J</w:t>
      </w:r>
      <w:r w:rsidRPr="00F47BDF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F47BDF">
        <w:rPr>
          <w:rFonts w:cstheme="minorHAnsi"/>
          <w:bCs/>
          <w:i/>
        </w:rPr>
        <w:t>z</w:t>
      </w:r>
      <w:r w:rsidRPr="00F47BDF">
        <w:rPr>
          <w:rFonts w:cstheme="minorHAnsi"/>
          <w:i/>
        </w:rPr>
        <w:t>rzesza ponad 400 małych i średnich, rodzinnych firm z terenu całej Polski, które prowadzą handel w 27</w:t>
      </w:r>
      <w:r>
        <w:rPr>
          <w:rFonts w:cstheme="minorHAnsi"/>
          <w:i/>
        </w:rPr>
        <w:t>5</w:t>
      </w:r>
      <w:r w:rsidRPr="00F47BDF">
        <w:rPr>
          <w:rFonts w:cstheme="minorHAnsi"/>
          <w:i/>
        </w:rPr>
        <w:t xml:space="preserve"> składach budowlanych, w 400 marketach PSB Mrówka oraz w 81 placówkach handlowych PSB </w:t>
      </w:r>
      <w:proofErr w:type="spellStart"/>
      <w:r w:rsidRPr="00F47BDF">
        <w:rPr>
          <w:rFonts w:cstheme="minorHAnsi"/>
          <w:i/>
        </w:rPr>
        <w:t>Profi</w:t>
      </w:r>
      <w:proofErr w:type="spellEnd"/>
      <w:r w:rsidRPr="00F47BDF">
        <w:rPr>
          <w:rFonts w:cstheme="minorHAnsi"/>
          <w:i/>
        </w:rPr>
        <w:t>. Placówki obecne są w 90% powiatów w Polsce, co sprawia, że Grupa PSB dociera do niemal każdego mieszkańca kraju. Łącznie zatrudniają one około 14 tysięcy osób.</w:t>
      </w:r>
    </w:p>
    <w:p w14:paraId="631D7D5D" w14:textId="77777777" w:rsidR="00227427" w:rsidRPr="00F47BDF" w:rsidRDefault="00227427" w:rsidP="00227427">
      <w:pPr>
        <w:rPr>
          <w:rFonts w:cstheme="minorHAnsi"/>
          <w:i/>
        </w:rPr>
      </w:pPr>
      <w:r w:rsidRPr="00F47BDF">
        <w:rPr>
          <w:rFonts w:cstheme="minorHAnsi"/>
          <w:i/>
        </w:rPr>
        <w:t>W 202</w:t>
      </w:r>
      <w:r>
        <w:rPr>
          <w:rFonts w:cstheme="minorHAnsi"/>
          <w:i/>
        </w:rPr>
        <w:t>5</w:t>
      </w:r>
      <w:r w:rsidRPr="00F47BDF">
        <w:rPr>
          <w:rFonts w:cstheme="minorHAnsi"/>
          <w:i/>
        </w:rPr>
        <w:t xml:space="preserve"> r. łączne przychody partnerów PSB ze sprzedaży materiałów budowlanych oraz do domu i ogrodu, wyniosły 9,</w:t>
      </w:r>
      <w:r>
        <w:rPr>
          <w:rFonts w:cstheme="minorHAnsi"/>
          <w:i/>
        </w:rPr>
        <w:t>3</w:t>
      </w:r>
      <w:r w:rsidRPr="00F47BDF">
        <w:rPr>
          <w:rFonts w:cstheme="minorHAnsi"/>
          <w:i/>
        </w:rPr>
        <w:t xml:space="preserve"> mld zł, co stanowi wzrost o </w:t>
      </w:r>
      <w:r>
        <w:rPr>
          <w:rFonts w:cstheme="minorHAnsi"/>
          <w:i/>
        </w:rPr>
        <w:t>2,3</w:t>
      </w:r>
      <w:r w:rsidRPr="00F47BDF">
        <w:rPr>
          <w:rFonts w:cstheme="minorHAnsi"/>
          <w:i/>
        </w:rPr>
        <w:t>% w porównaniu z 202</w:t>
      </w:r>
      <w:r>
        <w:rPr>
          <w:rFonts w:cstheme="minorHAnsi"/>
          <w:i/>
        </w:rPr>
        <w:t>4</w:t>
      </w:r>
      <w:r w:rsidRPr="00F47BDF">
        <w:rPr>
          <w:rFonts w:cstheme="minorHAnsi"/>
          <w:i/>
        </w:rPr>
        <w:t xml:space="preserve"> rokiem</w:t>
      </w:r>
      <w:r w:rsidRPr="00F47BDF">
        <w:rPr>
          <w:rFonts w:cstheme="minorHAnsi"/>
          <w:b/>
          <w:i/>
        </w:rPr>
        <w:t>.</w:t>
      </w:r>
      <w:r w:rsidRPr="00F47BDF">
        <w:rPr>
          <w:rFonts w:cstheme="minorHAnsi"/>
          <w:bCs/>
          <w:i/>
        </w:rPr>
        <w:t xml:space="preserve"> Z kolei przychody Grupy PSB Handel S.A. osiągnęły </w:t>
      </w:r>
      <w:r>
        <w:rPr>
          <w:rFonts w:cstheme="minorHAnsi"/>
          <w:bCs/>
          <w:i/>
        </w:rPr>
        <w:t xml:space="preserve">ponad </w:t>
      </w:r>
      <w:r w:rsidRPr="00F47BDF">
        <w:rPr>
          <w:rFonts w:cstheme="minorHAnsi"/>
          <w:bCs/>
          <w:i/>
        </w:rPr>
        <w:t>4,</w:t>
      </w:r>
      <w:r>
        <w:rPr>
          <w:rFonts w:cstheme="minorHAnsi"/>
          <w:bCs/>
          <w:i/>
        </w:rPr>
        <w:t>4</w:t>
      </w:r>
      <w:r w:rsidRPr="00F47BDF">
        <w:rPr>
          <w:rFonts w:cstheme="minorHAnsi"/>
          <w:bCs/>
          <w:i/>
        </w:rPr>
        <w:t xml:space="preserve"> mld zł, co oznacza wzrost o ponad </w:t>
      </w:r>
      <w:r>
        <w:rPr>
          <w:rFonts w:cstheme="minorHAnsi"/>
          <w:bCs/>
          <w:i/>
        </w:rPr>
        <w:t>4</w:t>
      </w:r>
      <w:r w:rsidRPr="00F47BDF">
        <w:rPr>
          <w:rFonts w:cstheme="minorHAnsi"/>
          <w:bCs/>
          <w:i/>
        </w:rPr>
        <w:t>% rok do roku.</w:t>
      </w:r>
      <w:r w:rsidRPr="00F47BDF">
        <w:rPr>
          <w:rFonts w:cstheme="minorHAnsi"/>
          <w:i/>
        </w:rPr>
        <w:t xml:space="preserve"> </w:t>
      </w:r>
    </w:p>
    <w:p w14:paraId="7D5F5191" w14:textId="77777777" w:rsidR="00227427" w:rsidRPr="007B453D" w:rsidRDefault="00227427" w:rsidP="00227427">
      <w:pPr>
        <w:rPr>
          <w:rFonts w:asciiTheme="minorHAnsi" w:hAnsiTheme="minorHAnsi" w:cstheme="minorHAnsi"/>
          <w:iCs/>
        </w:rPr>
      </w:pPr>
      <w:r w:rsidRPr="00F47BDF">
        <w:rPr>
          <w:rFonts w:cstheme="minorHAnsi"/>
          <w:bCs/>
          <w:i/>
        </w:rPr>
        <w:t>Według badań prowadzonych w 2025 roku dowolną markę Grupy PSB rozpoznaje prawie 80% respondentów.</w:t>
      </w:r>
    </w:p>
    <w:p w14:paraId="394C28AA" w14:textId="77777777" w:rsidR="00227427" w:rsidRPr="00227427" w:rsidRDefault="00227427" w:rsidP="001807D3">
      <w:pPr>
        <w:rPr>
          <w:rFonts w:asciiTheme="minorHAnsi" w:hAnsiTheme="minorHAnsi" w:cstheme="minorHAnsi"/>
        </w:rPr>
      </w:pPr>
    </w:p>
    <w:sectPr w:rsidR="00227427" w:rsidRPr="00227427" w:rsidSect="00DE2510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7B3E" w14:textId="77777777" w:rsidR="0063351D" w:rsidRDefault="0063351D" w:rsidP="00C24C02">
      <w:r>
        <w:separator/>
      </w:r>
    </w:p>
  </w:endnote>
  <w:endnote w:type="continuationSeparator" w:id="0">
    <w:p w14:paraId="59B1E5FB" w14:textId="77777777" w:rsidR="0063351D" w:rsidRDefault="0063351D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88F3" w14:textId="77777777" w:rsidR="0063351D" w:rsidRDefault="0063351D" w:rsidP="00C24C02">
      <w:r>
        <w:separator/>
      </w:r>
    </w:p>
  </w:footnote>
  <w:footnote w:type="continuationSeparator" w:id="0">
    <w:p w14:paraId="65460069" w14:textId="77777777" w:rsidR="0063351D" w:rsidRDefault="0063351D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54C3"/>
    <w:rsid w:val="000220CE"/>
    <w:rsid w:val="00025F3C"/>
    <w:rsid w:val="00047BAC"/>
    <w:rsid w:val="000615F5"/>
    <w:rsid w:val="000726B2"/>
    <w:rsid w:val="00086886"/>
    <w:rsid w:val="00086BD0"/>
    <w:rsid w:val="000B1AE1"/>
    <w:rsid w:val="000B2732"/>
    <w:rsid w:val="000B2C90"/>
    <w:rsid w:val="000F0B72"/>
    <w:rsid w:val="000F2CD0"/>
    <w:rsid w:val="00113EF4"/>
    <w:rsid w:val="00114EDE"/>
    <w:rsid w:val="001339AD"/>
    <w:rsid w:val="00142007"/>
    <w:rsid w:val="001503A1"/>
    <w:rsid w:val="0015665A"/>
    <w:rsid w:val="00165CB2"/>
    <w:rsid w:val="0017747A"/>
    <w:rsid w:val="001807D3"/>
    <w:rsid w:val="001A3BD3"/>
    <w:rsid w:val="001B1562"/>
    <w:rsid w:val="001C152A"/>
    <w:rsid w:val="001C55DC"/>
    <w:rsid w:val="001D5E34"/>
    <w:rsid w:val="001F343F"/>
    <w:rsid w:val="001F45A4"/>
    <w:rsid w:val="001F4C7C"/>
    <w:rsid w:val="00206AE2"/>
    <w:rsid w:val="002103F5"/>
    <w:rsid w:val="00227427"/>
    <w:rsid w:val="002522CF"/>
    <w:rsid w:val="00261F8D"/>
    <w:rsid w:val="002773BE"/>
    <w:rsid w:val="002777E2"/>
    <w:rsid w:val="00281907"/>
    <w:rsid w:val="002C348B"/>
    <w:rsid w:val="002C58EA"/>
    <w:rsid w:val="00312E6B"/>
    <w:rsid w:val="00325D18"/>
    <w:rsid w:val="00326635"/>
    <w:rsid w:val="003614C0"/>
    <w:rsid w:val="00377D78"/>
    <w:rsid w:val="00381FDC"/>
    <w:rsid w:val="00392B38"/>
    <w:rsid w:val="003A7926"/>
    <w:rsid w:val="003C6DD8"/>
    <w:rsid w:val="003D5EB6"/>
    <w:rsid w:val="003D74F9"/>
    <w:rsid w:val="00401D60"/>
    <w:rsid w:val="004032BC"/>
    <w:rsid w:val="00405A30"/>
    <w:rsid w:val="0040709B"/>
    <w:rsid w:val="00462748"/>
    <w:rsid w:val="0047080D"/>
    <w:rsid w:val="00475594"/>
    <w:rsid w:val="00495D15"/>
    <w:rsid w:val="004A628A"/>
    <w:rsid w:val="004A7805"/>
    <w:rsid w:val="004B3881"/>
    <w:rsid w:val="004C2E2A"/>
    <w:rsid w:val="004E4A4A"/>
    <w:rsid w:val="004F26DA"/>
    <w:rsid w:val="00504747"/>
    <w:rsid w:val="00506256"/>
    <w:rsid w:val="00531F61"/>
    <w:rsid w:val="00537BD3"/>
    <w:rsid w:val="0055288F"/>
    <w:rsid w:val="00553ADA"/>
    <w:rsid w:val="00584536"/>
    <w:rsid w:val="005A424E"/>
    <w:rsid w:val="005C0332"/>
    <w:rsid w:val="005C6B0A"/>
    <w:rsid w:val="005D7F86"/>
    <w:rsid w:val="005F5212"/>
    <w:rsid w:val="006126A6"/>
    <w:rsid w:val="00626274"/>
    <w:rsid w:val="0063351D"/>
    <w:rsid w:val="006422E1"/>
    <w:rsid w:val="00651993"/>
    <w:rsid w:val="00657E1D"/>
    <w:rsid w:val="00680950"/>
    <w:rsid w:val="006A2331"/>
    <w:rsid w:val="006B5042"/>
    <w:rsid w:val="006F5C66"/>
    <w:rsid w:val="006F61F8"/>
    <w:rsid w:val="00727119"/>
    <w:rsid w:val="00727A73"/>
    <w:rsid w:val="00750D44"/>
    <w:rsid w:val="0078717C"/>
    <w:rsid w:val="007904B2"/>
    <w:rsid w:val="007A7D4A"/>
    <w:rsid w:val="007B738C"/>
    <w:rsid w:val="007C0A74"/>
    <w:rsid w:val="007C75CA"/>
    <w:rsid w:val="008006B0"/>
    <w:rsid w:val="00812588"/>
    <w:rsid w:val="008574CE"/>
    <w:rsid w:val="0086728C"/>
    <w:rsid w:val="00890537"/>
    <w:rsid w:val="00897B47"/>
    <w:rsid w:val="008A6B72"/>
    <w:rsid w:val="008B1438"/>
    <w:rsid w:val="008B3BA4"/>
    <w:rsid w:val="008C0D7D"/>
    <w:rsid w:val="008C5267"/>
    <w:rsid w:val="008C6BB1"/>
    <w:rsid w:val="008E0DDE"/>
    <w:rsid w:val="008F56BA"/>
    <w:rsid w:val="00900C7E"/>
    <w:rsid w:val="00912265"/>
    <w:rsid w:val="00924D0C"/>
    <w:rsid w:val="009364CA"/>
    <w:rsid w:val="0094023E"/>
    <w:rsid w:val="00941D7B"/>
    <w:rsid w:val="00970A36"/>
    <w:rsid w:val="0098121F"/>
    <w:rsid w:val="00982AC9"/>
    <w:rsid w:val="009C0B42"/>
    <w:rsid w:val="009C32A5"/>
    <w:rsid w:val="009D3BE0"/>
    <w:rsid w:val="009F2F56"/>
    <w:rsid w:val="009F6916"/>
    <w:rsid w:val="00A13594"/>
    <w:rsid w:val="00A227FE"/>
    <w:rsid w:val="00A23F2E"/>
    <w:rsid w:val="00A250DA"/>
    <w:rsid w:val="00A2576E"/>
    <w:rsid w:val="00A260E7"/>
    <w:rsid w:val="00A32462"/>
    <w:rsid w:val="00A42799"/>
    <w:rsid w:val="00A44D97"/>
    <w:rsid w:val="00A57E6E"/>
    <w:rsid w:val="00A77F5C"/>
    <w:rsid w:val="00A90CDF"/>
    <w:rsid w:val="00A9757D"/>
    <w:rsid w:val="00AB0B0B"/>
    <w:rsid w:val="00AB3CDB"/>
    <w:rsid w:val="00AE0A8C"/>
    <w:rsid w:val="00AE1E8F"/>
    <w:rsid w:val="00AE3C4A"/>
    <w:rsid w:val="00AF61BB"/>
    <w:rsid w:val="00B00376"/>
    <w:rsid w:val="00B10B85"/>
    <w:rsid w:val="00B201FD"/>
    <w:rsid w:val="00B237D9"/>
    <w:rsid w:val="00B61951"/>
    <w:rsid w:val="00B91A3C"/>
    <w:rsid w:val="00BC03D0"/>
    <w:rsid w:val="00BD4D67"/>
    <w:rsid w:val="00BD4D8F"/>
    <w:rsid w:val="00BE557E"/>
    <w:rsid w:val="00BF54F1"/>
    <w:rsid w:val="00BF689B"/>
    <w:rsid w:val="00C231B2"/>
    <w:rsid w:val="00C24C02"/>
    <w:rsid w:val="00C4762B"/>
    <w:rsid w:val="00C506C0"/>
    <w:rsid w:val="00C568E0"/>
    <w:rsid w:val="00C60A8D"/>
    <w:rsid w:val="00C63B10"/>
    <w:rsid w:val="00C67DFE"/>
    <w:rsid w:val="00C81B93"/>
    <w:rsid w:val="00CA69D4"/>
    <w:rsid w:val="00CB1413"/>
    <w:rsid w:val="00CC2800"/>
    <w:rsid w:val="00CC6C10"/>
    <w:rsid w:val="00CD1A18"/>
    <w:rsid w:val="00CE7B62"/>
    <w:rsid w:val="00D05B24"/>
    <w:rsid w:val="00D41CD6"/>
    <w:rsid w:val="00D45620"/>
    <w:rsid w:val="00D61004"/>
    <w:rsid w:val="00D74894"/>
    <w:rsid w:val="00D83219"/>
    <w:rsid w:val="00D84E67"/>
    <w:rsid w:val="00D86471"/>
    <w:rsid w:val="00D8719A"/>
    <w:rsid w:val="00DA14D9"/>
    <w:rsid w:val="00DA603A"/>
    <w:rsid w:val="00DB513B"/>
    <w:rsid w:val="00DC790C"/>
    <w:rsid w:val="00DE2510"/>
    <w:rsid w:val="00E2016E"/>
    <w:rsid w:val="00E32D77"/>
    <w:rsid w:val="00E66A49"/>
    <w:rsid w:val="00E92E01"/>
    <w:rsid w:val="00E946F7"/>
    <w:rsid w:val="00EA2EEE"/>
    <w:rsid w:val="00EC2029"/>
    <w:rsid w:val="00EC7E65"/>
    <w:rsid w:val="00ED428B"/>
    <w:rsid w:val="00F22041"/>
    <w:rsid w:val="00F325A4"/>
    <w:rsid w:val="00F47042"/>
    <w:rsid w:val="00F53261"/>
    <w:rsid w:val="00F72998"/>
    <w:rsid w:val="00F954F2"/>
    <w:rsid w:val="00FA307A"/>
    <w:rsid w:val="00FB7953"/>
    <w:rsid w:val="00FE501D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0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4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22041"/>
    <w:rPr>
      <w:b/>
      <w:bCs/>
    </w:rPr>
  </w:style>
  <w:style w:type="paragraph" w:styleId="NormalnyWeb">
    <w:name w:val="Normal (Web)"/>
    <w:basedOn w:val="Normalny"/>
    <w:uiPriority w:val="99"/>
    <w:unhideWhenUsed/>
    <w:rsid w:val="00F2204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2711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A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47B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2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6</cp:revision>
  <dcterms:created xsi:type="dcterms:W3CDTF">2026-03-10T09:18:00Z</dcterms:created>
  <dcterms:modified xsi:type="dcterms:W3CDTF">2026-03-10T14:04:00Z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