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B1B603" w14:textId="77777777" w:rsidR="00361B3F" w:rsidRDefault="00361B3F" w:rsidP="00361B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Grupa PSB, 23-10-2024 r.</w:t>
      </w:r>
    </w:p>
    <w:p w14:paraId="68C56C06" w14:textId="77777777" w:rsidR="00361B3F" w:rsidRDefault="00361B3F" w:rsidP="00361B3F">
      <w:pPr>
        <w:jc w:val="both"/>
        <w:rPr>
          <w:rFonts w:ascii="Calibri" w:hAnsi="Calibri" w:cs="Calibri"/>
        </w:rPr>
      </w:pPr>
    </w:p>
    <w:p w14:paraId="78CE206E" w14:textId="77777777" w:rsidR="00361B3F" w:rsidRDefault="00361B3F" w:rsidP="00361B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Zmiany cen materiałów budowlanych we wrześniu 2024 r. </w:t>
      </w:r>
    </w:p>
    <w:p w14:paraId="16BF1EA4" w14:textId="77777777" w:rsidR="00361B3F" w:rsidRDefault="00361B3F" w:rsidP="00361B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analiza Grupy PSB Handel S.A.</w:t>
      </w:r>
    </w:p>
    <w:p w14:paraId="3D0724AA" w14:textId="77777777" w:rsidR="00361B3F" w:rsidRDefault="00361B3F" w:rsidP="00361B3F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16523E" w14:textId="77777777" w:rsidR="00361B3F" w:rsidRDefault="00361B3F" w:rsidP="00361B3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Grupa PSB Handel S.A. śledzi ceny wiodących materiałów dla budownictwa oraz domu i ogrodu, co pozwala obserwować zmiany trendów.</w:t>
      </w:r>
    </w:p>
    <w:p w14:paraId="7BAAF629" w14:textId="77777777" w:rsidR="00361B3F" w:rsidRDefault="00361B3F" w:rsidP="00361B3F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63407878"/>
      <w:r w:rsidRPr="003D1904">
        <w:rPr>
          <w:rFonts w:ascii="Calibri" w:hAnsi="Calibri" w:cs="Calibri"/>
          <w:b/>
          <w:bCs/>
          <w:color w:val="000000"/>
        </w:rPr>
        <w:t>We wrześniu 2024 r. Grupa PSB Handel S.A. odnotowała spadek cen materiałów budowlanych w porównaniu do września 2023 r. Dynamika cen wyniosła -0,8%, przy czym w kanale detalicznym spadek był bardziej zauważalny i wyniósł -1,4%, a w hurtowym jedynie -0,2%. W porównaniu do sierpnia 2024 r. średnie ceny materiałów zmniejszyły się o 1,3%. Analizując okres styczeń-wrzesień 2024 r. w porównaniu do tego samego okresu w 2023 r., dynamika cen osiągnęła poziom -2%.</w:t>
      </w:r>
    </w:p>
    <w:p w14:paraId="22DDAD85" w14:textId="77777777" w:rsidR="00361B3F" w:rsidRPr="009A72B3" w:rsidRDefault="00361B3F" w:rsidP="00361B3F">
      <w:pPr>
        <w:jc w:val="both"/>
        <w:rPr>
          <w:rFonts w:ascii="Calibri" w:hAnsi="Calibri" w:cs="Calibri"/>
        </w:rPr>
      </w:pPr>
      <w:r w:rsidRPr="009A72B3">
        <w:rPr>
          <w:rFonts w:ascii="Calibri" w:hAnsi="Calibri" w:cs="Calibri"/>
          <w:color w:val="000000"/>
        </w:rPr>
        <w:t>Ceny we wrześniu 2024 r. w porównaniu do września 2023 r. wzrosły w pięciu grupach towarowych.</w:t>
      </w:r>
      <w:r w:rsidRPr="003D1904">
        <w:rPr>
          <w:rFonts w:ascii="Calibri" w:hAnsi="Calibri" w:cs="Calibri"/>
          <w:color w:val="000000"/>
        </w:rPr>
        <w:t xml:space="preserve"> Największe wzrosty odnotowano w przypadku płyt OSB i drewna (+11%), cementu i wapna (+5%), a także w kategoriach ściany i kominy (+4%). Ceny farb, lakierów oraz materiałów do otoczenia domu wzrosły o 1%, natomiast ceny stolarki pozostały na niezmienionym poziomie.</w:t>
      </w:r>
      <w:r>
        <w:rPr>
          <w:rFonts w:ascii="Calibri" w:hAnsi="Calibri" w:cs="Calibri"/>
          <w:color w:val="000000"/>
        </w:rPr>
        <w:t xml:space="preserve"> </w:t>
      </w:r>
      <w:bookmarkStart w:id="1" w:name="_Hlk169182016"/>
      <w:r w:rsidRPr="009A72B3">
        <w:rPr>
          <w:rFonts w:ascii="Calibri" w:hAnsi="Calibri" w:cs="Calibri"/>
        </w:rPr>
        <w:t xml:space="preserve">Spadki cen zanotowano w 14 kategoriach, w tym m.in. w grupach: dekoracje, motoryzacja, chemia budowlana oraz instalacje, ogrzewanie (do </w:t>
      </w:r>
      <w:r>
        <w:rPr>
          <w:rFonts w:ascii="Calibri" w:hAnsi="Calibri" w:cs="Calibri"/>
        </w:rPr>
        <w:t>-</w:t>
      </w:r>
      <w:r w:rsidRPr="009A72B3">
        <w:rPr>
          <w:rFonts w:ascii="Calibri" w:hAnsi="Calibri" w:cs="Calibri"/>
        </w:rPr>
        <w:t xml:space="preserve">1%), a największe spadki dotyczyły kategorii: oświetlenie, elektryka oraz wykończenia (po -5%). </w:t>
      </w:r>
      <w:bookmarkEnd w:id="1"/>
    </w:p>
    <w:bookmarkEnd w:id="0"/>
    <w:p w14:paraId="6ED8F40E" w14:textId="77777777" w:rsidR="00361B3F" w:rsidRPr="003758AB" w:rsidRDefault="00361B3F" w:rsidP="00361B3F">
      <w:pPr>
        <w:jc w:val="both"/>
        <w:rPr>
          <w:rFonts w:ascii="Calibri" w:hAnsi="Calibri" w:cs="Calibri"/>
        </w:rPr>
      </w:pPr>
      <w:r w:rsidRPr="003758AB">
        <w:rPr>
          <w:rFonts w:ascii="Calibri" w:hAnsi="Calibri" w:cs="Calibri"/>
        </w:rPr>
        <w:t>W okresie styczeń-wrzesień 2024 r. w porównaniu do analogicznego okresu 2023 r. ceny wzrosły w czterech grupach towarowych,</w:t>
      </w:r>
      <w:r w:rsidRPr="009A72B3">
        <w:rPr>
          <w:rFonts w:ascii="Calibri" w:hAnsi="Calibri" w:cs="Calibri"/>
          <w:b/>
          <w:bCs/>
        </w:rPr>
        <w:t xml:space="preserve"> </w:t>
      </w:r>
      <w:r w:rsidRPr="009A72B3">
        <w:rPr>
          <w:rFonts w:ascii="Calibri" w:hAnsi="Calibri" w:cs="Calibri"/>
        </w:rPr>
        <w:t>z najwyższym wzrostem w cemencie i wapnie (+5%) oraz farbach i lakierach (+2%). Stolarka i chemia budowlana zdrożały o 1%.</w:t>
      </w:r>
      <w:r w:rsidRPr="009A72B3">
        <w:rPr>
          <w:rFonts w:ascii="Calibri" w:hAnsi="Calibri" w:cs="Calibri"/>
          <w:b/>
          <w:bCs/>
        </w:rPr>
        <w:t xml:space="preserve"> </w:t>
      </w:r>
      <w:r w:rsidRPr="003758AB">
        <w:rPr>
          <w:rFonts w:ascii="Calibri" w:hAnsi="Calibri" w:cs="Calibri"/>
        </w:rPr>
        <w:t>Z kolei spadki cen odnotowano w 16 kategoriach, m.in. w motoryzacji, wyposażeniu AGD (</w:t>
      </w:r>
      <w:r>
        <w:rPr>
          <w:rFonts w:ascii="Calibri" w:hAnsi="Calibri" w:cs="Calibri"/>
        </w:rPr>
        <w:t xml:space="preserve">do </w:t>
      </w:r>
      <w:r w:rsidRPr="003758AB">
        <w:rPr>
          <w:rFonts w:ascii="Calibri" w:hAnsi="Calibri" w:cs="Calibri"/>
        </w:rPr>
        <w:t>-1%), a największy spadek zanotowano w płytach OSB i drewnie (-8%).</w:t>
      </w:r>
    </w:p>
    <w:p w14:paraId="1417B114" w14:textId="2772F809" w:rsidR="00361B3F" w:rsidRDefault="00361B3F" w:rsidP="00361B3F">
      <w:pPr>
        <w:jc w:val="both"/>
        <w:rPr>
          <w:rFonts w:ascii="Calibri" w:hAnsi="Calibri" w:cs="Calibri"/>
        </w:rPr>
      </w:pPr>
      <w:r w:rsidRPr="002E6F02">
        <w:rPr>
          <w:rFonts w:ascii="Calibri" w:hAnsi="Calibri" w:cs="Calibri"/>
          <w:noProof/>
        </w:rPr>
        <w:lastRenderedPageBreak/>
        <w:drawing>
          <wp:inline distT="0" distB="0" distL="0" distR="0" wp14:anchorId="7C2D3A64" wp14:editId="368F0300">
            <wp:extent cx="5756910" cy="4133215"/>
            <wp:effectExtent l="0" t="0" r="0" b="635"/>
            <wp:docPr id="212905022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06A2" w14:textId="77777777" w:rsidR="00361B3F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189861CD" w14:textId="77777777" w:rsidR="00361B3F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28ECAD25" w14:textId="77777777" w:rsidR="00361B3F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1ABB3CB6" w14:textId="77777777" w:rsidR="00361B3F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153F87C4" w14:textId="77777777" w:rsidR="00361B3F" w:rsidRDefault="00361B3F" w:rsidP="00361B3F">
      <w:pPr>
        <w:pStyle w:val="Stopka"/>
        <w:rPr>
          <w:i/>
        </w:rPr>
      </w:pPr>
      <w:r w:rsidRPr="00494250">
        <w:rPr>
          <w:i/>
        </w:rPr>
        <w:t xml:space="preserve">tel. +48 41 / 378 52 23, 608 517 617, </w:t>
      </w:r>
    </w:p>
    <w:p w14:paraId="3EC23E1D" w14:textId="07AD0FB0" w:rsidR="00361B3F" w:rsidRPr="00494250" w:rsidRDefault="00361B3F" w:rsidP="00361B3F">
      <w:pPr>
        <w:pStyle w:val="Stopka"/>
        <w:rPr>
          <w:i/>
          <w:lang w:val="fr-FR"/>
        </w:rPr>
      </w:pPr>
      <w:r w:rsidRPr="00494250">
        <w:rPr>
          <w:i/>
          <w:lang w:val="fr-FR"/>
        </w:rPr>
        <w:t xml:space="preserve">e-mail: </w:t>
      </w:r>
      <w:r>
        <w:fldChar w:fldCharType="begin"/>
      </w:r>
      <w:r>
        <w:instrText>HYPERLINK "mailto:Marzena.Syczuk@centralapsb.pl"</w:instrText>
      </w:r>
      <w:r>
        <w:fldChar w:fldCharType="separate"/>
      </w:r>
      <w:r w:rsidRPr="00494250">
        <w:rPr>
          <w:rStyle w:val="Hipercze"/>
          <w:i/>
          <w:lang w:val="fr-FR"/>
        </w:rPr>
        <w:t>Marzena.Syczuk@centralapsb.pl</w:t>
      </w:r>
      <w:r>
        <w:rPr>
          <w:rStyle w:val="Hipercze"/>
          <w:i/>
          <w:lang w:val="fr-FR"/>
        </w:rPr>
        <w:fldChar w:fldCharType="end"/>
      </w:r>
    </w:p>
    <w:p w14:paraId="1C14C48C" w14:textId="77777777" w:rsidR="00361B3F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63C4EBB3" w14:textId="77777777" w:rsidR="00361B3F" w:rsidRDefault="00361B3F" w:rsidP="00361B3F">
      <w:pPr>
        <w:jc w:val="both"/>
        <w:rPr>
          <w:rFonts w:ascii="Calibri" w:hAnsi="Calibri" w:cs="Calibri"/>
          <w:b/>
          <w:i/>
          <w:u w:val="single"/>
        </w:rPr>
      </w:pPr>
    </w:p>
    <w:p w14:paraId="14931EC0" w14:textId="77777777" w:rsidR="00361B3F" w:rsidRPr="009D01B9" w:rsidRDefault="00361B3F" w:rsidP="00361B3F">
      <w:pPr>
        <w:jc w:val="both"/>
        <w:rPr>
          <w:rFonts w:ascii="Calibri" w:hAnsi="Calibri" w:cs="Calibri"/>
          <w:b/>
          <w:i/>
          <w:u w:val="single"/>
        </w:rPr>
      </w:pPr>
      <w:r w:rsidRPr="009D01B9">
        <w:rPr>
          <w:rFonts w:ascii="Calibri" w:hAnsi="Calibri" w:cs="Calibri"/>
          <w:b/>
          <w:i/>
          <w:u w:val="single"/>
        </w:rPr>
        <w:t>Grupa PSB</w:t>
      </w:r>
    </w:p>
    <w:p w14:paraId="6B0F74BA" w14:textId="77777777" w:rsidR="00361B3F" w:rsidRPr="009D01B9" w:rsidRDefault="00361B3F" w:rsidP="00361B3F">
      <w:pPr>
        <w:jc w:val="both"/>
        <w:rPr>
          <w:rFonts w:ascii="Calibri" w:hAnsi="Calibri" w:cs="Calibri"/>
          <w:i/>
        </w:rPr>
      </w:pPr>
      <w:r w:rsidRPr="009D01B9">
        <w:rPr>
          <w:rFonts w:ascii="Calibri" w:hAnsi="Calibri" w:cs="Calibri"/>
          <w:i/>
        </w:rPr>
        <w:t xml:space="preserve">Grupa PSB Handel S.A. </w:t>
      </w:r>
      <w:r>
        <w:rPr>
          <w:rFonts w:ascii="Calibri" w:hAnsi="Calibri" w:cs="Calibri"/>
          <w:i/>
        </w:rPr>
        <w:t xml:space="preserve">(centrala) </w:t>
      </w:r>
      <w:r w:rsidRPr="009D01B9">
        <w:rPr>
          <w:rFonts w:ascii="Calibri" w:hAnsi="Calibri" w:cs="Calibri"/>
          <w:i/>
        </w:rPr>
        <w:t xml:space="preserve">z siedzibą w Wełczu k./Buska-Zdroju, działa na rynku od ponad 25 </w:t>
      </w:r>
      <w:r w:rsidRPr="009D01B9">
        <w:rPr>
          <w:rFonts w:ascii="Calibri" w:hAnsi="Calibri" w:cs="Calibri"/>
          <w:bCs/>
          <w:i/>
        </w:rPr>
        <w:t>lat</w:t>
      </w:r>
      <w:r>
        <w:rPr>
          <w:rFonts w:ascii="Calibri" w:hAnsi="Calibri" w:cs="Calibri"/>
          <w:bCs/>
          <w:i/>
        </w:rPr>
        <w:t>. Grupa PSB</w:t>
      </w:r>
      <w:r w:rsidRPr="009D01B9">
        <w:rPr>
          <w:rFonts w:ascii="Calibri" w:hAnsi="Calibri" w:cs="Calibri"/>
          <w:bCs/>
          <w:i/>
        </w:rPr>
        <w:t xml:space="preserve"> </w:t>
      </w:r>
      <w:r w:rsidRPr="009D01B9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D01B9">
        <w:rPr>
          <w:rFonts w:ascii="Calibri" w:hAnsi="Calibri" w:cs="Calibri"/>
          <w:bCs/>
          <w:i/>
        </w:rPr>
        <w:t>z</w:t>
      </w:r>
      <w:r w:rsidRPr="009D01B9">
        <w:rPr>
          <w:rFonts w:ascii="Calibri" w:hAnsi="Calibri" w:cs="Calibri"/>
          <w:i/>
        </w:rPr>
        <w:t>rzesza ponad 400 małych i średnich, rodzinnych firm z terenu całej Polski, które prowadzą handel w 28</w:t>
      </w:r>
      <w:r>
        <w:rPr>
          <w:rFonts w:ascii="Calibri" w:hAnsi="Calibri" w:cs="Calibri"/>
          <w:i/>
        </w:rPr>
        <w:t>9</w:t>
      </w:r>
      <w:r w:rsidRPr="009D01B9">
        <w:rPr>
          <w:rFonts w:ascii="Calibri" w:hAnsi="Calibri" w:cs="Calibri"/>
          <w:i/>
        </w:rPr>
        <w:t xml:space="preserve"> składach budowlanych, w 37</w:t>
      </w:r>
      <w:r>
        <w:rPr>
          <w:rFonts w:ascii="Calibri" w:hAnsi="Calibri" w:cs="Calibri"/>
          <w:i/>
        </w:rPr>
        <w:t>7</w:t>
      </w:r>
      <w:r w:rsidRPr="009D01B9">
        <w:rPr>
          <w:rFonts w:ascii="Calibri" w:hAnsi="Calibri" w:cs="Calibri"/>
          <w:i/>
        </w:rPr>
        <w:t xml:space="preserve"> marketach PSB Mrówka oraz w 7</w:t>
      </w:r>
      <w:r>
        <w:rPr>
          <w:rFonts w:ascii="Calibri" w:hAnsi="Calibri" w:cs="Calibri"/>
          <w:i/>
        </w:rPr>
        <w:t>8</w:t>
      </w:r>
      <w:r w:rsidRPr="009D01B9">
        <w:rPr>
          <w:rFonts w:ascii="Calibri" w:hAnsi="Calibri" w:cs="Calibri"/>
          <w:i/>
        </w:rPr>
        <w:t xml:space="preserve"> placówkach handlowych PSB </w:t>
      </w:r>
      <w:proofErr w:type="spellStart"/>
      <w:r w:rsidRPr="009D01B9">
        <w:rPr>
          <w:rFonts w:ascii="Calibri" w:hAnsi="Calibri" w:cs="Calibri"/>
          <w:i/>
        </w:rPr>
        <w:t>Profi</w:t>
      </w:r>
      <w:proofErr w:type="spellEnd"/>
      <w:r w:rsidRPr="009D01B9">
        <w:rPr>
          <w:rFonts w:ascii="Calibri" w:hAnsi="Calibri" w:cs="Calibri"/>
          <w:i/>
        </w:rPr>
        <w:t xml:space="preserve">. W punktach tych pracuje ok. 14 tysięcy osób. </w:t>
      </w:r>
    </w:p>
    <w:p w14:paraId="5C14D56E" w14:textId="6D4B9557" w:rsidR="0006166B" w:rsidRPr="00361B3F" w:rsidRDefault="00361B3F" w:rsidP="00E25759">
      <w:pPr>
        <w:jc w:val="both"/>
        <w:rPr>
          <w:rFonts w:ascii="Calibri" w:hAnsi="Calibri" w:cs="Calibri"/>
          <w:b/>
          <w:i/>
        </w:rPr>
      </w:pPr>
      <w:r w:rsidRPr="009D01B9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</w:t>
      </w:r>
      <w:r>
        <w:rPr>
          <w:rFonts w:ascii="Calibri" w:hAnsi="Calibri" w:cs="Calibri"/>
          <w:b/>
          <w:i/>
        </w:rPr>
        <w:t>5</w:t>
      </w:r>
      <w:r w:rsidRPr="009D01B9">
        <w:rPr>
          <w:rFonts w:ascii="Calibri" w:hAnsi="Calibri" w:cs="Calibri"/>
          <w:b/>
          <w:i/>
        </w:rPr>
        <w:t>% udziału w krajowym rynku dystrybucji materiałów budowlanych.</w:t>
      </w:r>
      <w:r w:rsidRPr="009D01B9">
        <w:rPr>
          <w:rFonts w:ascii="Calibri" w:hAnsi="Calibri" w:cs="Calibri"/>
          <w:bCs/>
          <w:i/>
        </w:rPr>
        <w:t xml:space="preserve"> Zaś przychody Grupy PSB Handel S.A. (centrali) wyniosły 3,9 mld zł.</w:t>
      </w:r>
      <w:r w:rsidRPr="009D01B9">
        <w:rPr>
          <w:rFonts w:ascii="Calibri" w:hAnsi="Calibri" w:cs="Calibri"/>
          <w:i/>
        </w:rPr>
        <w:t xml:space="preserve"> </w:t>
      </w:r>
      <w:r w:rsidRPr="009D01B9">
        <w:rPr>
          <w:rFonts w:ascii="Calibri" w:hAnsi="Calibri" w:cs="Calibri"/>
          <w:bCs/>
          <w:i/>
          <w:color w:val="000000"/>
        </w:rPr>
        <w:t xml:space="preserve">Wg badań w 2023 roku dowolną markę Grupy PSB rozpoznaje 81% respondentów: markę Grupy PSB zna 60% Polaków, sieci sklepów PSB Mrówka 76%, a placówek PSB </w:t>
      </w:r>
      <w:proofErr w:type="spellStart"/>
      <w:r w:rsidRPr="009D01B9">
        <w:rPr>
          <w:rFonts w:ascii="Calibri" w:hAnsi="Calibri" w:cs="Calibri"/>
          <w:bCs/>
          <w:i/>
          <w:color w:val="000000"/>
        </w:rPr>
        <w:t>Profi</w:t>
      </w:r>
      <w:proofErr w:type="spellEnd"/>
      <w:r w:rsidRPr="009D01B9">
        <w:rPr>
          <w:rFonts w:ascii="Calibri" w:hAnsi="Calibri" w:cs="Calibri"/>
          <w:bCs/>
          <w:i/>
          <w:color w:val="000000"/>
        </w:rPr>
        <w:t xml:space="preserve"> 43%.</w:t>
      </w:r>
      <w:bookmarkStart w:id="2" w:name="_Hlk132633097"/>
      <w:bookmarkEnd w:id="2"/>
    </w:p>
    <w:sectPr w:rsidR="0006166B" w:rsidRPr="00361B3F" w:rsidSect="00C24C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B676" w14:textId="77777777" w:rsidR="001D50C4" w:rsidRDefault="001D50C4" w:rsidP="00C24C02">
      <w:pPr>
        <w:spacing w:after="0" w:line="240" w:lineRule="auto"/>
      </w:pPr>
      <w:r>
        <w:separator/>
      </w:r>
    </w:p>
  </w:endnote>
  <w:endnote w:type="continuationSeparator" w:id="0">
    <w:p w14:paraId="34D6266D" w14:textId="77777777" w:rsidR="001D50C4" w:rsidRDefault="001D50C4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12B8" w14:textId="77777777" w:rsidR="001D50C4" w:rsidRDefault="001D50C4" w:rsidP="00C24C02">
      <w:pPr>
        <w:spacing w:after="0" w:line="240" w:lineRule="auto"/>
      </w:pPr>
      <w:r>
        <w:separator/>
      </w:r>
    </w:p>
  </w:footnote>
  <w:footnote w:type="continuationSeparator" w:id="0">
    <w:p w14:paraId="7B7446FD" w14:textId="77777777" w:rsidR="001D50C4" w:rsidRDefault="001D50C4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6166B"/>
    <w:rsid w:val="000F1540"/>
    <w:rsid w:val="000F2CD0"/>
    <w:rsid w:val="000F4847"/>
    <w:rsid w:val="000F65A3"/>
    <w:rsid w:val="0010171A"/>
    <w:rsid w:val="00142007"/>
    <w:rsid w:val="001B143F"/>
    <w:rsid w:val="001B1562"/>
    <w:rsid w:val="001C152A"/>
    <w:rsid w:val="001D50C4"/>
    <w:rsid w:val="00242C80"/>
    <w:rsid w:val="00255666"/>
    <w:rsid w:val="00257D28"/>
    <w:rsid w:val="00266E8E"/>
    <w:rsid w:val="00292ADC"/>
    <w:rsid w:val="002A4D46"/>
    <w:rsid w:val="002C348B"/>
    <w:rsid w:val="002F0D86"/>
    <w:rsid w:val="00315F75"/>
    <w:rsid w:val="00355277"/>
    <w:rsid w:val="00361B3F"/>
    <w:rsid w:val="00392B38"/>
    <w:rsid w:val="00451E4B"/>
    <w:rsid w:val="004863C6"/>
    <w:rsid w:val="00494250"/>
    <w:rsid w:val="0050011F"/>
    <w:rsid w:val="00506256"/>
    <w:rsid w:val="0051158A"/>
    <w:rsid w:val="005168AF"/>
    <w:rsid w:val="005C0332"/>
    <w:rsid w:val="005C1147"/>
    <w:rsid w:val="00657E1D"/>
    <w:rsid w:val="006A2331"/>
    <w:rsid w:val="006B145D"/>
    <w:rsid w:val="006C4CB7"/>
    <w:rsid w:val="006D1305"/>
    <w:rsid w:val="006F33E7"/>
    <w:rsid w:val="00732485"/>
    <w:rsid w:val="007804F0"/>
    <w:rsid w:val="00793ADA"/>
    <w:rsid w:val="007B2EEE"/>
    <w:rsid w:val="007F1893"/>
    <w:rsid w:val="008006B0"/>
    <w:rsid w:val="00811C2C"/>
    <w:rsid w:val="00860B89"/>
    <w:rsid w:val="00890537"/>
    <w:rsid w:val="008A0476"/>
    <w:rsid w:val="0094065C"/>
    <w:rsid w:val="00964C56"/>
    <w:rsid w:val="0098121F"/>
    <w:rsid w:val="009F6916"/>
    <w:rsid w:val="00A23F2E"/>
    <w:rsid w:val="00A447EC"/>
    <w:rsid w:val="00A44D97"/>
    <w:rsid w:val="00A4570B"/>
    <w:rsid w:val="00A57E6E"/>
    <w:rsid w:val="00A77F5C"/>
    <w:rsid w:val="00AC0479"/>
    <w:rsid w:val="00AE0A8C"/>
    <w:rsid w:val="00AE3C4A"/>
    <w:rsid w:val="00AF61BB"/>
    <w:rsid w:val="00B00CCA"/>
    <w:rsid w:val="00B10B85"/>
    <w:rsid w:val="00B332A9"/>
    <w:rsid w:val="00B34991"/>
    <w:rsid w:val="00B91A3C"/>
    <w:rsid w:val="00BF54F1"/>
    <w:rsid w:val="00C06021"/>
    <w:rsid w:val="00C24C02"/>
    <w:rsid w:val="00C4401B"/>
    <w:rsid w:val="00C4765F"/>
    <w:rsid w:val="00C506C0"/>
    <w:rsid w:val="00C60A8D"/>
    <w:rsid w:val="00CA69D4"/>
    <w:rsid w:val="00CE51E9"/>
    <w:rsid w:val="00CF0998"/>
    <w:rsid w:val="00D45620"/>
    <w:rsid w:val="00D91006"/>
    <w:rsid w:val="00DE028E"/>
    <w:rsid w:val="00DE3CCB"/>
    <w:rsid w:val="00E25759"/>
    <w:rsid w:val="00E30C92"/>
    <w:rsid w:val="00EE675F"/>
    <w:rsid w:val="00F06979"/>
    <w:rsid w:val="00F325A4"/>
    <w:rsid w:val="00F637F2"/>
    <w:rsid w:val="00FB7953"/>
    <w:rsid w:val="00FC5C51"/>
    <w:rsid w:val="00FD417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61B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61B3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2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3</cp:revision>
  <dcterms:created xsi:type="dcterms:W3CDTF">2024-10-23T12:04:00Z</dcterms:created>
  <dcterms:modified xsi:type="dcterms:W3CDTF">2024-10-23T12:05:00Z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