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32DEB" w14:textId="1146C1CA" w:rsidR="00377D78" w:rsidRPr="007B453D" w:rsidRDefault="00377D78" w:rsidP="00377D78">
      <w:pPr>
        <w:jc w:val="both"/>
        <w:rPr>
          <w:rFonts w:asciiTheme="minorHAnsi" w:hAnsiTheme="minorHAnsi" w:cstheme="minorHAnsi"/>
        </w:rPr>
      </w:pPr>
      <w:r w:rsidRPr="007B453D">
        <w:rPr>
          <w:rFonts w:asciiTheme="minorHAnsi" w:hAnsiTheme="minorHAnsi" w:cstheme="minorHAnsi"/>
        </w:rPr>
        <w:t xml:space="preserve">Grupa PSB, </w:t>
      </w:r>
      <w:r w:rsidR="00AC380D">
        <w:rPr>
          <w:rFonts w:asciiTheme="minorHAnsi" w:hAnsiTheme="minorHAnsi" w:cstheme="minorHAnsi"/>
        </w:rPr>
        <w:t>28</w:t>
      </w:r>
      <w:r w:rsidRPr="007B453D">
        <w:rPr>
          <w:rFonts w:asciiTheme="minorHAnsi" w:hAnsiTheme="minorHAnsi" w:cstheme="minorHAnsi"/>
        </w:rPr>
        <w:t>-</w:t>
      </w:r>
      <w:r w:rsidR="00187566">
        <w:rPr>
          <w:rFonts w:asciiTheme="minorHAnsi" w:hAnsiTheme="minorHAnsi" w:cstheme="minorHAnsi"/>
        </w:rPr>
        <w:t>0</w:t>
      </w:r>
      <w:r w:rsidR="0032537A">
        <w:rPr>
          <w:rFonts w:asciiTheme="minorHAnsi" w:hAnsiTheme="minorHAnsi" w:cstheme="minorHAnsi"/>
        </w:rPr>
        <w:t>9</w:t>
      </w:r>
      <w:r w:rsidRPr="007B453D">
        <w:rPr>
          <w:rFonts w:asciiTheme="minorHAnsi" w:hAnsiTheme="minorHAnsi" w:cstheme="minorHAnsi"/>
        </w:rPr>
        <w:t>-202</w:t>
      </w:r>
      <w:r w:rsidR="00187566">
        <w:rPr>
          <w:rFonts w:asciiTheme="minorHAnsi" w:hAnsiTheme="minorHAnsi" w:cstheme="minorHAnsi"/>
        </w:rPr>
        <w:t>6</w:t>
      </w:r>
      <w:r w:rsidRPr="007B453D">
        <w:rPr>
          <w:rFonts w:asciiTheme="minorHAnsi" w:hAnsiTheme="minorHAnsi" w:cstheme="minorHAnsi"/>
        </w:rPr>
        <w:t xml:space="preserve"> r.</w:t>
      </w:r>
    </w:p>
    <w:p w14:paraId="3AD55502" w14:textId="77777777" w:rsidR="00377D78" w:rsidRPr="007B453D" w:rsidRDefault="00377D78" w:rsidP="00377D78">
      <w:pPr>
        <w:jc w:val="both"/>
        <w:rPr>
          <w:rFonts w:asciiTheme="minorHAnsi" w:hAnsiTheme="minorHAnsi" w:cstheme="minorHAnsi"/>
          <w:b/>
        </w:rPr>
      </w:pPr>
    </w:p>
    <w:p w14:paraId="252AEFE4" w14:textId="77777777" w:rsidR="00377D78" w:rsidRPr="007B453D" w:rsidRDefault="00377D78" w:rsidP="00377D78">
      <w:pPr>
        <w:jc w:val="both"/>
        <w:rPr>
          <w:rFonts w:asciiTheme="minorHAnsi" w:hAnsiTheme="minorHAnsi" w:cstheme="minorHAnsi"/>
        </w:rPr>
      </w:pPr>
    </w:p>
    <w:p w14:paraId="7B41C036" w14:textId="57B3A3C6" w:rsidR="00377D78" w:rsidRPr="007B453D" w:rsidRDefault="00377D78" w:rsidP="00377D7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7B453D">
        <w:rPr>
          <w:rFonts w:asciiTheme="minorHAnsi" w:hAnsiTheme="minorHAnsi" w:cstheme="minorHAnsi"/>
          <w:b/>
          <w:bCs/>
        </w:rPr>
        <w:t>Zmiany cen materiałów budowlanych w</w:t>
      </w:r>
      <w:r w:rsidR="0023538B">
        <w:rPr>
          <w:rFonts w:asciiTheme="minorHAnsi" w:hAnsiTheme="minorHAnsi" w:cstheme="minorHAnsi"/>
          <w:b/>
          <w:bCs/>
        </w:rPr>
        <w:t xml:space="preserve"> </w:t>
      </w:r>
      <w:r w:rsidR="0032537A">
        <w:rPr>
          <w:rFonts w:asciiTheme="minorHAnsi" w:hAnsiTheme="minorHAnsi" w:cstheme="minorHAnsi"/>
          <w:b/>
          <w:bCs/>
        </w:rPr>
        <w:t>sierpniu</w:t>
      </w:r>
      <w:r w:rsidR="00E563D7">
        <w:rPr>
          <w:rFonts w:asciiTheme="minorHAnsi" w:hAnsiTheme="minorHAnsi" w:cstheme="minorHAnsi"/>
          <w:b/>
          <w:bCs/>
        </w:rPr>
        <w:t xml:space="preserve"> </w:t>
      </w:r>
      <w:r w:rsidRPr="007B453D">
        <w:rPr>
          <w:rFonts w:asciiTheme="minorHAnsi" w:hAnsiTheme="minorHAnsi" w:cstheme="minorHAnsi"/>
          <w:b/>
          <w:bCs/>
        </w:rPr>
        <w:t>202</w:t>
      </w:r>
      <w:r w:rsidR="00B96526">
        <w:rPr>
          <w:rFonts w:asciiTheme="minorHAnsi" w:hAnsiTheme="minorHAnsi" w:cstheme="minorHAnsi"/>
          <w:b/>
          <w:bCs/>
        </w:rPr>
        <w:t>6</w:t>
      </w:r>
      <w:r w:rsidRPr="007B453D">
        <w:rPr>
          <w:rFonts w:asciiTheme="minorHAnsi" w:hAnsiTheme="minorHAnsi" w:cstheme="minorHAnsi"/>
          <w:b/>
          <w:bCs/>
        </w:rPr>
        <w:t xml:space="preserve"> r. </w:t>
      </w:r>
    </w:p>
    <w:p w14:paraId="2477D546" w14:textId="77777777" w:rsidR="00377D78" w:rsidRPr="007B453D" w:rsidRDefault="00377D78" w:rsidP="00377D7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7B453D">
        <w:rPr>
          <w:rFonts w:asciiTheme="minorHAnsi" w:hAnsiTheme="minorHAnsi" w:cstheme="minorHAnsi"/>
          <w:b/>
          <w:bCs/>
        </w:rPr>
        <w:t>– analiza Grupy PSB Handel S.A.</w:t>
      </w:r>
    </w:p>
    <w:p w14:paraId="243DA96F" w14:textId="77777777" w:rsidR="00377D78" w:rsidRPr="007B453D" w:rsidRDefault="00377D78" w:rsidP="00377D78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6C99DA58" w14:textId="5D8957B1" w:rsidR="00377D78" w:rsidRPr="007B453D" w:rsidRDefault="00377D78" w:rsidP="00FE6D7F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7B453D">
        <w:rPr>
          <w:rFonts w:asciiTheme="minorHAnsi" w:hAnsiTheme="minorHAnsi" w:cstheme="minorHAnsi"/>
        </w:rPr>
        <w:t xml:space="preserve">Grupa PSB Handel S.A. </w:t>
      </w:r>
      <w:r w:rsidR="004A7805" w:rsidRPr="007B453D">
        <w:rPr>
          <w:rFonts w:asciiTheme="minorHAnsi" w:hAnsiTheme="minorHAnsi" w:cstheme="minorHAnsi"/>
        </w:rPr>
        <w:t>monitoruj</w:t>
      </w:r>
      <w:r w:rsidR="009C37D0" w:rsidRPr="007B453D">
        <w:rPr>
          <w:rFonts w:asciiTheme="minorHAnsi" w:hAnsiTheme="minorHAnsi" w:cstheme="minorHAnsi"/>
        </w:rPr>
        <w:t>e</w:t>
      </w:r>
      <w:r w:rsidR="004A7805" w:rsidRPr="007B453D">
        <w:rPr>
          <w:rFonts w:asciiTheme="minorHAnsi" w:hAnsiTheme="minorHAnsi" w:cstheme="minorHAnsi"/>
        </w:rPr>
        <w:t xml:space="preserve"> </w:t>
      </w:r>
      <w:r w:rsidRPr="007B453D">
        <w:rPr>
          <w:rFonts w:asciiTheme="minorHAnsi" w:hAnsiTheme="minorHAnsi" w:cstheme="minorHAnsi"/>
        </w:rPr>
        <w:t xml:space="preserve">ceny </w:t>
      </w:r>
      <w:r w:rsidR="004A7805" w:rsidRPr="007B453D">
        <w:rPr>
          <w:rFonts w:asciiTheme="minorHAnsi" w:hAnsiTheme="minorHAnsi" w:cstheme="minorHAnsi"/>
        </w:rPr>
        <w:t xml:space="preserve">kluczowych </w:t>
      </w:r>
      <w:r w:rsidRPr="007B453D">
        <w:rPr>
          <w:rFonts w:asciiTheme="minorHAnsi" w:hAnsiTheme="minorHAnsi" w:cstheme="minorHAnsi"/>
        </w:rPr>
        <w:t xml:space="preserve">materiałów dla budownictwa oraz </w:t>
      </w:r>
      <w:r w:rsidR="004F26DA" w:rsidRPr="007B453D">
        <w:rPr>
          <w:rFonts w:asciiTheme="minorHAnsi" w:hAnsiTheme="minorHAnsi" w:cstheme="minorHAnsi"/>
        </w:rPr>
        <w:t xml:space="preserve">produktów do </w:t>
      </w:r>
      <w:r w:rsidRPr="007B453D">
        <w:rPr>
          <w:rFonts w:asciiTheme="minorHAnsi" w:hAnsiTheme="minorHAnsi" w:cstheme="minorHAnsi"/>
        </w:rPr>
        <w:t xml:space="preserve">domu i ogrodu, </w:t>
      </w:r>
      <w:r w:rsidR="004F26DA" w:rsidRPr="007B453D">
        <w:rPr>
          <w:rFonts w:asciiTheme="minorHAnsi" w:hAnsiTheme="minorHAnsi" w:cstheme="minorHAnsi"/>
        </w:rPr>
        <w:t xml:space="preserve">umożliwiając </w:t>
      </w:r>
      <w:r w:rsidRPr="007B453D">
        <w:rPr>
          <w:rFonts w:asciiTheme="minorHAnsi" w:hAnsiTheme="minorHAnsi" w:cstheme="minorHAnsi"/>
        </w:rPr>
        <w:t>obserw</w:t>
      </w:r>
      <w:r w:rsidR="004F26DA" w:rsidRPr="007B453D">
        <w:rPr>
          <w:rFonts w:asciiTheme="minorHAnsi" w:hAnsiTheme="minorHAnsi" w:cstheme="minorHAnsi"/>
        </w:rPr>
        <w:t>ację</w:t>
      </w:r>
      <w:r w:rsidRPr="007B453D">
        <w:rPr>
          <w:rFonts w:asciiTheme="minorHAnsi" w:hAnsiTheme="minorHAnsi" w:cstheme="minorHAnsi"/>
        </w:rPr>
        <w:t xml:space="preserve"> </w:t>
      </w:r>
      <w:r w:rsidR="004F26DA" w:rsidRPr="007B453D">
        <w:rPr>
          <w:rFonts w:asciiTheme="minorHAnsi" w:hAnsiTheme="minorHAnsi" w:cstheme="minorHAnsi"/>
        </w:rPr>
        <w:t xml:space="preserve">zmieniających się </w:t>
      </w:r>
      <w:r w:rsidRPr="007B453D">
        <w:rPr>
          <w:rFonts w:asciiTheme="minorHAnsi" w:hAnsiTheme="minorHAnsi" w:cstheme="minorHAnsi"/>
        </w:rPr>
        <w:t>trendów.</w:t>
      </w:r>
      <w:r w:rsidR="00970A36" w:rsidRPr="007B453D">
        <w:rPr>
          <w:rFonts w:asciiTheme="minorHAnsi" w:hAnsiTheme="minorHAnsi" w:cstheme="minorHAnsi"/>
        </w:rPr>
        <w:t xml:space="preserve"> </w:t>
      </w:r>
    </w:p>
    <w:p w14:paraId="655A45B2" w14:textId="77777777" w:rsidR="00377D78" w:rsidRPr="007B453D" w:rsidRDefault="00377D78" w:rsidP="00FE6D7F">
      <w:pPr>
        <w:jc w:val="both"/>
        <w:rPr>
          <w:rFonts w:asciiTheme="minorHAnsi" w:hAnsiTheme="minorHAnsi" w:cstheme="minorHAnsi"/>
          <w:b/>
        </w:rPr>
      </w:pPr>
    </w:p>
    <w:p w14:paraId="2AE0AF35" w14:textId="77777777" w:rsidR="0032537A" w:rsidRPr="00F24579" w:rsidRDefault="0032537A" w:rsidP="00FE6D7F">
      <w:pPr>
        <w:jc w:val="both"/>
        <w:rPr>
          <w:rFonts w:asciiTheme="minorHAnsi" w:hAnsiTheme="minorHAnsi" w:cstheme="minorHAnsi"/>
          <w:color w:val="000000" w:themeColor="text1"/>
        </w:rPr>
      </w:pPr>
      <w:bookmarkStart w:id="0" w:name="_Hlk63407878"/>
      <w:r w:rsidRPr="00F24579">
        <w:rPr>
          <w:rFonts w:asciiTheme="minorHAnsi" w:hAnsiTheme="minorHAnsi" w:cstheme="minorHAnsi"/>
          <w:color w:val="000000" w:themeColor="text1"/>
        </w:rPr>
        <w:t xml:space="preserve">W </w:t>
      </w:r>
      <w:r>
        <w:rPr>
          <w:rFonts w:asciiTheme="minorHAnsi" w:hAnsiTheme="minorHAnsi" w:cstheme="minorHAnsi"/>
          <w:color w:val="000000" w:themeColor="text1"/>
        </w:rPr>
        <w:t>sierpniu</w:t>
      </w:r>
      <w:r w:rsidRPr="00F24579">
        <w:rPr>
          <w:rFonts w:asciiTheme="minorHAnsi" w:hAnsiTheme="minorHAnsi" w:cstheme="minorHAnsi"/>
          <w:color w:val="000000" w:themeColor="text1"/>
        </w:rPr>
        <w:t xml:space="preserve"> 2026 r. poziom cen ogółem był wyższy o +</w:t>
      </w:r>
      <w:r>
        <w:rPr>
          <w:rFonts w:asciiTheme="minorHAnsi" w:hAnsiTheme="minorHAnsi" w:cstheme="minorHAnsi"/>
          <w:color w:val="000000" w:themeColor="text1"/>
        </w:rPr>
        <w:t>4,0</w:t>
      </w:r>
      <w:r w:rsidRPr="00F24579">
        <w:rPr>
          <w:rFonts w:asciiTheme="minorHAnsi" w:hAnsiTheme="minorHAnsi" w:cstheme="minorHAnsi"/>
          <w:color w:val="000000" w:themeColor="text1"/>
        </w:rPr>
        <w:t>% w porównaniu z tym samym miesiącem 2025 r. W sprzedaży detalicznej ceny wzrosły o +</w:t>
      </w:r>
      <w:r>
        <w:rPr>
          <w:rFonts w:asciiTheme="minorHAnsi" w:hAnsiTheme="minorHAnsi" w:cstheme="minorHAnsi"/>
          <w:color w:val="000000" w:themeColor="text1"/>
        </w:rPr>
        <w:t>3</w:t>
      </w:r>
      <w:r w:rsidRPr="00F24579">
        <w:rPr>
          <w:rFonts w:asciiTheme="minorHAnsi" w:hAnsiTheme="minorHAnsi" w:cstheme="minorHAnsi"/>
          <w:color w:val="000000" w:themeColor="text1"/>
        </w:rPr>
        <w:t>,</w:t>
      </w:r>
      <w:r>
        <w:rPr>
          <w:rFonts w:asciiTheme="minorHAnsi" w:hAnsiTheme="minorHAnsi" w:cstheme="minorHAnsi"/>
          <w:color w:val="000000" w:themeColor="text1"/>
        </w:rPr>
        <w:t>1</w:t>
      </w:r>
      <w:r w:rsidRPr="00F24579">
        <w:rPr>
          <w:rFonts w:asciiTheme="minorHAnsi" w:hAnsiTheme="minorHAnsi" w:cstheme="minorHAnsi"/>
          <w:color w:val="000000" w:themeColor="text1"/>
        </w:rPr>
        <w:t>%, natomiast w handlu hurtowym odnotowano wzrost na poziomie +</w:t>
      </w:r>
      <w:r>
        <w:rPr>
          <w:rFonts w:asciiTheme="minorHAnsi" w:hAnsiTheme="minorHAnsi" w:cstheme="minorHAnsi"/>
          <w:color w:val="000000" w:themeColor="text1"/>
        </w:rPr>
        <w:t>5,0</w:t>
      </w:r>
      <w:r w:rsidRPr="00F24579">
        <w:rPr>
          <w:rFonts w:asciiTheme="minorHAnsi" w:hAnsiTheme="minorHAnsi" w:cstheme="minorHAnsi"/>
          <w:color w:val="000000" w:themeColor="text1"/>
        </w:rPr>
        <w:t>%.</w:t>
      </w:r>
    </w:p>
    <w:p w14:paraId="08AE5AE0" w14:textId="77777777" w:rsidR="0032537A" w:rsidRPr="00F24579" w:rsidRDefault="0032537A" w:rsidP="00FE6D7F">
      <w:pPr>
        <w:jc w:val="both"/>
        <w:rPr>
          <w:rFonts w:asciiTheme="minorHAnsi" w:hAnsiTheme="minorHAnsi" w:cstheme="minorHAnsi"/>
          <w:color w:val="000000" w:themeColor="text1"/>
        </w:rPr>
      </w:pPr>
      <w:r w:rsidRPr="00F24579">
        <w:rPr>
          <w:rFonts w:asciiTheme="minorHAnsi" w:hAnsiTheme="minorHAnsi" w:cstheme="minorHAnsi"/>
          <w:color w:val="000000" w:themeColor="text1"/>
        </w:rPr>
        <w:t xml:space="preserve">W ujęciu narastającym, za okres od stycznia do </w:t>
      </w:r>
      <w:r>
        <w:rPr>
          <w:rFonts w:asciiTheme="minorHAnsi" w:hAnsiTheme="minorHAnsi" w:cstheme="minorHAnsi"/>
          <w:color w:val="000000" w:themeColor="text1"/>
        </w:rPr>
        <w:t>sierpnia</w:t>
      </w:r>
      <w:r w:rsidRPr="00F24579">
        <w:rPr>
          <w:rFonts w:asciiTheme="minorHAnsi" w:hAnsiTheme="minorHAnsi" w:cstheme="minorHAnsi"/>
          <w:color w:val="000000" w:themeColor="text1"/>
        </w:rPr>
        <w:t xml:space="preserve"> 2026 r., ceny ogółem były wyższe o 1,</w:t>
      </w:r>
      <w:r>
        <w:rPr>
          <w:rFonts w:asciiTheme="minorHAnsi" w:hAnsiTheme="minorHAnsi" w:cstheme="minorHAnsi"/>
          <w:color w:val="000000" w:themeColor="text1"/>
        </w:rPr>
        <w:t>6</w:t>
      </w:r>
      <w:r w:rsidRPr="00F24579">
        <w:rPr>
          <w:rFonts w:asciiTheme="minorHAnsi" w:hAnsiTheme="minorHAnsi" w:cstheme="minorHAnsi"/>
          <w:color w:val="000000" w:themeColor="text1"/>
        </w:rPr>
        <w:t>% w porównaniu z analogicznym okresem roku poprzedniego. W kanale detalicznym wzrost cen wyniósł 0,</w:t>
      </w:r>
      <w:r>
        <w:rPr>
          <w:rFonts w:asciiTheme="minorHAnsi" w:hAnsiTheme="minorHAnsi" w:cstheme="minorHAnsi"/>
          <w:color w:val="000000" w:themeColor="text1"/>
        </w:rPr>
        <w:t>8</w:t>
      </w:r>
      <w:r w:rsidRPr="00F24579">
        <w:rPr>
          <w:rFonts w:asciiTheme="minorHAnsi" w:hAnsiTheme="minorHAnsi" w:cstheme="minorHAnsi"/>
          <w:color w:val="000000" w:themeColor="text1"/>
        </w:rPr>
        <w:t>%, podczas gdy w handlu hurtowym ceny zwiększyły się o 2,</w:t>
      </w:r>
      <w:r>
        <w:rPr>
          <w:rFonts w:asciiTheme="minorHAnsi" w:hAnsiTheme="minorHAnsi" w:cstheme="minorHAnsi"/>
          <w:color w:val="000000" w:themeColor="text1"/>
        </w:rPr>
        <w:t>7</w:t>
      </w:r>
      <w:r w:rsidRPr="00F24579">
        <w:rPr>
          <w:rFonts w:asciiTheme="minorHAnsi" w:hAnsiTheme="minorHAnsi" w:cstheme="minorHAnsi"/>
          <w:color w:val="000000" w:themeColor="text1"/>
        </w:rPr>
        <w:t>%.</w:t>
      </w:r>
    </w:p>
    <w:p w14:paraId="161BEEC0" w14:textId="37132444" w:rsidR="00537BD3" w:rsidRPr="00B6189A" w:rsidRDefault="00537BD3" w:rsidP="00FE6D7F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09D59837" w14:textId="77777777" w:rsidR="0032537A" w:rsidRPr="009D72C6" w:rsidRDefault="0032537A" w:rsidP="00FE6D7F">
      <w:pPr>
        <w:jc w:val="both"/>
        <w:rPr>
          <w:rFonts w:asciiTheme="minorHAnsi" w:hAnsiTheme="minorHAnsi" w:cstheme="minorHAnsi"/>
          <w:color w:val="000000"/>
          <w:lang w:eastAsia="en-US"/>
        </w:rPr>
      </w:pPr>
      <w:bookmarkStart w:id="1" w:name="_Hlk161739811"/>
      <w:bookmarkEnd w:id="0"/>
      <w:r w:rsidRPr="009D72C6">
        <w:rPr>
          <w:rFonts w:asciiTheme="minorHAnsi" w:hAnsiTheme="minorHAnsi" w:cstheme="minorHAnsi"/>
          <w:b/>
          <w:bCs/>
          <w:color w:val="000000"/>
          <w:lang w:eastAsia="en-US"/>
        </w:rPr>
        <w:t>Wzrost cen w sierpniu 2026 r. w porównaniu z sierpniem 2025 r. odnotowano w 1</w:t>
      </w:r>
      <w:r>
        <w:rPr>
          <w:rFonts w:asciiTheme="minorHAnsi" w:hAnsiTheme="minorHAnsi" w:cstheme="minorHAnsi"/>
          <w:b/>
          <w:bCs/>
          <w:color w:val="000000"/>
          <w:lang w:eastAsia="en-US"/>
        </w:rPr>
        <w:t>9</w:t>
      </w:r>
      <w:r w:rsidRPr="009D72C6">
        <w:rPr>
          <w:rFonts w:asciiTheme="minorHAnsi" w:hAnsiTheme="minorHAnsi" w:cstheme="minorHAnsi"/>
          <w:b/>
          <w:bCs/>
          <w:color w:val="000000"/>
          <w:lang w:eastAsia="en-US"/>
        </w:rPr>
        <w:t xml:space="preserve"> grupach towarowych.</w:t>
      </w:r>
      <w:r w:rsidRPr="009D72C6">
        <w:rPr>
          <w:rFonts w:asciiTheme="minorHAnsi" w:hAnsiTheme="minorHAnsi" w:cstheme="minorHAnsi"/>
          <w:color w:val="000000"/>
          <w:lang w:eastAsia="en-US"/>
        </w:rPr>
        <w:t xml:space="preserve"> </w:t>
      </w:r>
      <w:r w:rsidRPr="009D72C6">
        <w:rPr>
          <w:rFonts w:asciiTheme="minorHAnsi" w:hAnsiTheme="minorHAnsi" w:cstheme="minorHAnsi"/>
          <w:b/>
          <w:bCs/>
          <w:color w:val="000000"/>
          <w:lang w:eastAsia="en-US"/>
        </w:rPr>
        <w:t>Największe podwyżki dotyczyły kategorii:</w:t>
      </w:r>
      <w:r w:rsidRPr="009D72C6">
        <w:rPr>
          <w:rFonts w:asciiTheme="minorHAnsi" w:hAnsiTheme="minorHAnsi" w:cstheme="minorHAnsi"/>
          <w:color w:val="000000"/>
          <w:lang w:eastAsia="en-US"/>
        </w:rPr>
        <w:t xml:space="preserve"> izolacje termiczne (+13,4%), dachy, rynny (+8,4%), izolacje wodochronne (+8,1%) oraz sucha zabudowa (+7,2%). W dalszej kolejności znalazły się: płytki, łazienki, kuchnie (+5,2%), farby, lakiery (+4,6%), instalacje, ogrzewanie (+4,1%), motoryzacja (+3,7%), oświetlenie, elektryka (+3,6%), narzędzia (+3,2%), płyty OSB, drewno (+3,0%), otoczenie domu </w:t>
      </w:r>
      <w:r>
        <w:rPr>
          <w:rFonts w:asciiTheme="minorHAnsi" w:hAnsiTheme="minorHAnsi" w:cstheme="minorHAnsi"/>
          <w:color w:val="000000"/>
          <w:lang w:eastAsia="en-US"/>
        </w:rPr>
        <w:t xml:space="preserve">i </w:t>
      </w:r>
      <w:r w:rsidRPr="009D72C6">
        <w:rPr>
          <w:rFonts w:asciiTheme="minorHAnsi" w:hAnsiTheme="minorHAnsi" w:cstheme="minorHAnsi"/>
          <w:color w:val="000000"/>
          <w:lang w:eastAsia="en-US"/>
        </w:rPr>
        <w:t xml:space="preserve">ściany, kominy (po +2,4%), chemia budowlana (+2,1%), wykończenia (+1,5%), wyposażenie, AGD (+1,4%), stolarka (+1,3%), ogród, hobby (+1,0%) oraz cement, wapno (+0,5%). </w:t>
      </w:r>
      <w:r w:rsidRPr="009D72C6">
        <w:rPr>
          <w:rFonts w:asciiTheme="minorHAnsi" w:hAnsiTheme="minorHAnsi" w:cstheme="minorHAnsi"/>
          <w:b/>
          <w:bCs/>
          <w:color w:val="000000"/>
          <w:lang w:eastAsia="en-US"/>
        </w:rPr>
        <w:t>Spadek cen wystąpił</w:t>
      </w:r>
      <w:r w:rsidRPr="009D72C6">
        <w:rPr>
          <w:rFonts w:asciiTheme="minorHAnsi" w:hAnsiTheme="minorHAnsi" w:cstheme="minorHAnsi"/>
          <w:color w:val="000000"/>
          <w:lang w:eastAsia="en-US"/>
        </w:rPr>
        <w:t xml:space="preserve"> tylko w 1 kategorii: dekoracje (-0,7%).</w:t>
      </w:r>
    </w:p>
    <w:p w14:paraId="3CA85943" w14:textId="77777777" w:rsidR="00187566" w:rsidRPr="00B6189A" w:rsidRDefault="00187566" w:rsidP="00FE6D7F">
      <w:pPr>
        <w:pStyle w:val="Tekstpodstawowy3"/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bookmarkEnd w:id="1"/>
    <w:p w14:paraId="4632A048" w14:textId="2DB85590" w:rsidR="0032537A" w:rsidRPr="00D0484A" w:rsidRDefault="0032537A" w:rsidP="00FE6D7F">
      <w:pPr>
        <w:jc w:val="both"/>
        <w:rPr>
          <w:rFonts w:asciiTheme="minorHAnsi" w:hAnsiTheme="minorHAnsi" w:cstheme="minorHAnsi"/>
          <w:color w:val="000000"/>
          <w:lang w:eastAsia="en-US"/>
        </w:rPr>
      </w:pPr>
      <w:r w:rsidRPr="008B6F22">
        <w:rPr>
          <w:rFonts w:asciiTheme="minorHAnsi" w:hAnsiTheme="minorHAnsi" w:cstheme="minorHAnsi"/>
          <w:b/>
          <w:bCs/>
          <w:color w:val="000000"/>
          <w:lang w:eastAsia="en-US"/>
        </w:rPr>
        <w:t xml:space="preserve">W okresie </w:t>
      </w:r>
      <w:r w:rsidR="00C35714">
        <w:rPr>
          <w:rFonts w:asciiTheme="minorHAnsi" w:hAnsiTheme="minorHAnsi" w:cstheme="minorHAnsi"/>
          <w:b/>
          <w:bCs/>
          <w:color w:val="000000"/>
          <w:lang w:eastAsia="en-US"/>
        </w:rPr>
        <w:t xml:space="preserve">od stycznia do sierpnia 2026 r. </w:t>
      </w:r>
      <w:r w:rsidRPr="008B6F22">
        <w:rPr>
          <w:rFonts w:asciiTheme="minorHAnsi" w:hAnsiTheme="minorHAnsi" w:cstheme="minorHAnsi"/>
          <w:b/>
          <w:bCs/>
          <w:color w:val="000000"/>
          <w:lang w:eastAsia="en-US"/>
        </w:rPr>
        <w:t>ceny wzrosły w 1</w:t>
      </w:r>
      <w:r>
        <w:rPr>
          <w:rFonts w:asciiTheme="minorHAnsi" w:hAnsiTheme="minorHAnsi" w:cstheme="minorHAnsi"/>
          <w:b/>
          <w:bCs/>
          <w:color w:val="000000"/>
          <w:lang w:eastAsia="en-US"/>
        </w:rPr>
        <w:t>1</w:t>
      </w:r>
      <w:r w:rsidRPr="008B6F22">
        <w:rPr>
          <w:rFonts w:asciiTheme="minorHAnsi" w:hAnsiTheme="minorHAnsi" w:cstheme="minorHAnsi"/>
          <w:b/>
          <w:bCs/>
          <w:color w:val="000000"/>
          <w:lang w:eastAsia="en-US"/>
        </w:rPr>
        <w:t xml:space="preserve"> grupach towarowych. Największe podwyżki odnotowano w kategorii</w:t>
      </w:r>
      <w:r>
        <w:rPr>
          <w:rFonts w:asciiTheme="minorHAnsi" w:hAnsiTheme="minorHAnsi" w:cstheme="minorHAnsi"/>
          <w:b/>
          <w:bCs/>
          <w:color w:val="000000"/>
          <w:lang w:eastAsia="en-US"/>
        </w:rPr>
        <w:t>:</w:t>
      </w:r>
      <w:r w:rsidRPr="00D0484A">
        <w:rPr>
          <w:rFonts w:asciiTheme="minorHAnsi" w:hAnsiTheme="minorHAnsi" w:cstheme="minorHAnsi"/>
          <w:color w:val="000000"/>
          <w:lang w:eastAsia="en-US"/>
        </w:rPr>
        <w:t xml:space="preserve"> płyty OSB, drewno (+8,3%), następnie izolacje termiczne (+6,2%), dachy, rynny (+4,8%), izolacje wodochronne (+3,9%), farby, lakiery (+3,5%), sucha zabudowa (+3,0%), płytki, łazienki, kuchnie (+1,8%), instalacje, ogrzewanie (+1,7%), stolarka (+1,3%), chemia budowlana (+1,2%)</w:t>
      </w:r>
      <w:r>
        <w:rPr>
          <w:rFonts w:asciiTheme="minorHAnsi" w:hAnsiTheme="minorHAnsi" w:cstheme="minorHAnsi"/>
          <w:color w:val="000000"/>
          <w:lang w:eastAsia="en-US"/>
        </w:rPr>
        <w:t xml:space="preserve"> oraz</w:t>
      </w:r>
      <w:r w:rsidRPr="00D0484A">
        <w:rPr>
          <w:rFonts w:asciiTheme="minorHAnsi" w:hAnsiTheme="minorHAnsi" w:cstheme="minorHAnsi"/>
          <w:color w:val="000000"/>
          <w:lang w:eastAsia="en-US"/>
        </w:rPr>
        <w:t xml:space="preserve"> ściany, kominy (+1,0%)</w:t>
      </w:r>
      <w:r>
        <w:rPr>
          <w:rFonts w:asciiTheme="minorHAnsi" w:hAnsiTheme="minorHAnsi" w:cstheme="minorHAnsi"/>
          <w:color w:val="000000"/>
          <w:lang w:eastAsia="en-US"/>
        </w:rPr>
        <w:t xml:space="preserve">. </w:t>
      </w:r>
      <w:r w:rsidRPr="00AD2AE1">
        <w:rPr>
          <w:rFonts w:asciiTheme="minorHAnsi" w:hAnsiTheme="minorHAnsi" w:cstheme="minorHAnsi"/>
          <w:b/>
          <w:bCs/>
          <w:color w:val="000000"/>
          <w:lang w:eastAsia="en-US"/>
        </w:rPr>
        <w:t xml:space="preserve">Na zbliżonym poziomie pozostały ceny w grupach: </w:t>
      </w:r>
      <w:r w:rsidRPr="00D0484A">
        <w:rPr>
          <w:rFonts w:asciiTheme="minorHAnsi" w:hAnsiTheme="minorHAnsi" w:cstheme="minorHAnsi"/>
          <w:color w:val="000000"/>
          <w:lang w:eastAsia="en-US"/>
        </w:rPr>
        <w:t>narzędzia</w:t>
      </w:r>
      <w:r>
        <w:rPr>
          <w:rFonts w:asciiTheme="minorHAnsi" w:hAnsiTheme="minorHAnsi" w:cstheme="minorHAnsi"/>
          <w:color w:val="000000"/>
          <w:lang w:eastAsia="en-US"/>
        </w:rPr>
        <w:t>,</w:t>
      </w:r>
      <w:r w:rsidRPr="00D0484A">
        <w:rPr>
          <w:rFonts w:asciiTheme="minorHAnsi" w:hAnsiTheme="minorHAnsi" w:cstheme="minorHAnsi"/>
          <w:color w:val="000000"/>
          <w:lang w:eastAsia="en-US"/>
        </w:rPr>
        <w:t xml:space="preserve"> motoryzacja</w:t>
      </w:r>
      <w:r>
        <w:rPr>
          <w:rFonts w:asciiTheme="minorHAnsi" w:hAnsiTheme="minorHAnsi" w:cstheme="minorHAnsi"/>
          <w:color w:val="000000"/>
          <w:lang w:eastAsia="en-US"/>
        </w:rPr>
        <w:t xml:space="preserve">, </w:t>
      </w:r>
      <w:r w:rsidRPr="00D0484A">
        <w:rPr>
          <w:rFonts w:asciiTheme="minorHAnsi" w:hAnsiTheme="minorHAnsi" w:cstheme="minorHAnsi"/>
          <w:color w:val="000000"/>
          <w:lang w:eastAsia="en-US"/>
        </w:rPr>
        <w:t>oświetlenie, elektryka</w:t>
      </w:r>
      <w:r>
        <w:rPr>
          <w:rFonts w:asciiTheme="minorHAnsi" w:hAnsiTheme="minorHAnsi" w:cstheme="minorHAnsi"/>
          <w:color w:val="000000"/>
          <w:lang w:eastAsia="en-US"/>
        </w:rPr>
        <w:t xml:space="preserve">, </w:t>
      </w:r>
      <w:r w:rsidRPr="00D0484A">
        <w:rPr>
          <w:rFonts w:asciiTheme="minorHAnsi" w:hAnsiTheme="minorHAnsi" w:cstheme="minorHAnsi"/>
          <w:color w:val="000000"/>
          <w:lang w:eastAsia="en-US"/>
        </w:rPr>
        <w:t>ogród, hobby</w:t>
      </w:r>
      <w:r>
        <w:rPr>
          <w:rFonts w:asciiTheme="minorHAnsi" w:hAnsiTheme="minorHAnsi" w:cstheme="minorHAnsi"/>
          <w:color w:val="000000"/>
          <w:lang w:eastAsia="en-US"/>
        </w:rPr>
        <w:t xml:space="preserve"> i </w:t>
      </w:r>
      <w:r w:rsidRPr="00D0484A">
        <w:rPr>
          <w:rFonts w:asciiTheme="minorHAnsi" w:hAnsiTheme="minorHAnsi" w:cstheme="minorHAnsi"/>
          <w:color w:val="000000"/>
          <w:lang w:eastAsia="en-US"/>
        </w:rPr>
        <w:t xml:space="preserve">wykończenia. </w:t>
      </w:r>
      <w:r w:rsidRPr="00D0484A">
        <w:rPr>
          <w:rFonts w:asciiTheme="minorHAnsi" w:hAnsiTheme="minorHAnsi" w:cstheme="minorHAnsi"/>
          <w:b/>
          <w:bCs/>
          <w:color w:val="000000"/>
          <w:lang w:eastAsia="en-US"/>
        </w:rPr>
        <w:t xml:space="preserve">Spadek cen wystąpił w </w:t>
      </w:r>
      <w:r>
        <w:rPr>
          <w:rFonts w:asciiTheme="minorHAnsi" w:hAnsiTheme="minorHAnsi" w:cstheme="minorHAnsi"/>
          <w:b/>
          <w:bCs/>
          <w:color w:val="000000"/>
          <w:lang w:eastAsia="en-US"/>
        </w:rPr>
        <w:t>4</w:t>
      </w:r>
      <w:r w:rsidRPr="00D0484A">
        <w:rPr>
          <w:rFonts w:asciiTheme="minorHAnsi" w:hAnsiTheme="minorHAnsi" w:cstheme="minorHAnsi"/>
          <w:b/>
          <w:bCs/>
          <w:color w:val="000000"/>
          <w:lang w:eastAsia="en-US"/>
        </w:rPr>
        <w:t xml:space="preserve"> grupach towarowych:</w:t>
      </w:r>
      <w:r w:rsidRPr="00D0484A">
        <w:rPr>
          <w:rFonts w:asciiTheme="minorHAnsi" w:hAnsiTheme="minorHAnsi" w:cstheme="minorHAnsi"/>
          <w:color w:val="000000"/>
          <w:lang w:eastAsia="en-US"/>
        </w:rPr>
        <w:t xml:space="preserve"> dekoracje (-0,8%), wyposażenie, AGD (-1,1%), otoczenie domu (-1,2%) i cement, wapno (-1,7%).</w:t>
      </w:r>
    </w:p>
    <w:p w14:paraId="3AE3F774" w14:textId="77777777" w:rsidR="00B6189A" w:rsidRDefault="00B6189A" w:rsidP="00FE6D7F">
      <w:pPr>
        <w:pStyle w:val="Tekstpodstawowy3"/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569298A" w14:textId="64BCD27D" w:rsidR="0090439F" w:rsidRPr="00B6189A" w:rsidRDefault="0090439F" w:rsidP="00FE6D7F">
      <w:pPr>
        <w:pStyle w:val="Tekstpodstawowy3"/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B6189A">
        <w:rPr>
          <w:rFonts w:asciiTheme="minorHAnsi" w:hAnsiTheme="minorHAnsi" w:cstheme="minorHAnsi"/>
          <w:b/>
          <w:bCs/>
          <w:sz w:val="24"/>
          <w:szCs w:val="24"/>
        </w:rPr>
        <w:t>Podsumowanie</w:t>
      </w:r>
    </w:p>
    <w:p w14:paraId="1F4BF513" w14:textId="468DC496" w:rsidR="00463DB8" w:rsidRPr="00463DB8" w:rsidRDefault="00463DB8" w:rsidP="00FE6D7F">
      <w:pPr>
        <w:jc w:val="both"/>
        <w:rPr>
          <w:rFonts w:asciiTheme="minorHAnsi" w:hAnsiTheme="minorHAnsi" w:cstheme="minorHAnsi"/>
        </w:rPr>
      </w:pPr>
      <w:r w:rsidRPr="00463DB8">
        <w:rPr>
          <w:rFonts w:asciiTheme="minorHAnsi" w:hAnsiTheme="minorHAnsi" w:cstheme="minorHAnsi"/>
        </w:rPr>
        <w:t>W sierpniu 2026 r. wzrost cen odnotowano w 19 kategoriach materiałów budowlanych. Największe podwyżki dotyczyły izolacji termicznych (+13,4%)</w:t>
      </w:r>
      <w:r>
        <w:rPr>
          <w:rFonts w:asciiTheme="minorHAnsi" w:hAnsiTheme="minorHAnsi" w:cstheme="minorHAnsi"/>
        </w:rPr>
        <w:t xml:space="preserve"> oraz</w:t>
      </w:r>
      <w:r w:rsidRPr="00463DB8">
        <w:rPr>
          <w:rFonts w:asciiTheme="minorHAnsi" w:hAnsiTheme="minorHAnsi" w:cstheme="minorHAnsi"/>
        </w:rPr>
        <w:t xml:space="preserve"> dachów i rynien (+8,4%)</w:t>
      </w:r>
      <w:r>
        <w:rPr>
          <w:rFonts w:asciiTheme="minorHAnsi" w:hAnsiTheme="minorHAnsi" w:cstheme="minorHAnsi"/>
        </w:rPr>
        <w:t>.</w:t>
      </w:r>
      <w:r w:rsidR="00EF7D40">
        <w:rPr>
          <w:rFonts w:asciiTheme="minorHAnsi" w:hAnsiTheme="minorHAnsi" w:cstheme="minorHAnsi"/>
        </w:rPr>
        <w:t xml:space="preserve"> </w:t>
      </w:r>
      <w:r w:rsidRPr="00463DB8">
        <w:rPr>
          <w:rFonts w:asciiTheme="minorHAnsi" w:hAnsiTheme="minorHAnsi" w:cstheme="minorHAnsi"/>
        </w:rPr>
        <w:t>Spadek cen wystąpił jedynie w jednej grupie produktowej, obejmującej dekoracje (-0,7%).</w:t>
      </w:r>
    </w:p>
    <w:p w14:paraId="40059FA9" w14:textId="5D39FF21" w:rsidR="00463DB8" w:rsidRDefault="00463DB8" w:rsidP="00FE6D7F">
      <w:pPr>
        <w:jc w:val="both"/>
        <w:rPr>
          <w:rFonts w:asciiTheme="minorHAnsi" w:hAnsiTheme="minorHAnsi" w:cstheme="minorHAnsi"/>
        </w:rPr>
      </w:pPr>
      <w:r w:rsidRPr="00463DB8">
        <w:rPr>
          <w:rFonts w:asciiTheme="minorHAnsi" w:hAnsiTheme="minorHAnsi" w:cstheme="minorHAnsi"/>
        </w:rPr>
        <w:t>W okresie od stycznia do sierpnia 2026 r. ceny wzrosły w 11 kategoriach, przy czym najwyższą dynamikę odnotowano w segmencie płyt OSB i drewna (+</w:t>
      </w:r>
      <w:r w:rsidR="005C0B18">
        <w:rPr>
          <w:rFonts w:asciiTheme="minorHAnsi" w:hAnsiTheme="minorHAnsi" w:cstheme="minorHAnsi"/>
        </w:rPr>
        <w:t>8</w:t>
      </w:r>
      <w:r w:rsidRPr="00463DB8">
        <w:rPr>
          <w:rFonts w:asciiTheme="minorHAnsi" w:hAnsiTheme="minorHAnsi" w:cstheme="minorHAnsi"/>
        </w:rPr>
        <w:t>,3%). W tym samym czasie obniżki cen zanotowano w 4 grupach asortymentowych, a największy spadek dotyczył cementu i wapna (-1,7%).</w:t>
      </w:r>
    </w:p>
    <w:p w14:paraId="3DD4BC72" w14:textId="6D08D636" w:rsidR="00014735" w:rsidRPr="00463DB8" w:rsidRDefault="00014735" w:rsidP="00463DB8">
      <w:pPr>
        <w:rPr>
          <w:rFonts w:asciiTheme="minorHAnsi" w:hAnsiTheme="minorHAnsi" w:cstheme="minorHAnsi"/>
        </w:rPr>
      </w:pPr>
      <w:r w:rsidRPr="00014735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6F860009" wp14:editId="43B85DBA">
            <wp:extent cx="5759450" cy="4313555"/>
            <wp:effectExtent l="0" t="0" r="0" b="0"/>
            <wp:docPr id="82912133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E33D9" w14:textId="5A9C77D6" w:rsidR="00377D78" w:rsidRPr="007B453D" w:rsidRDefault="00377D78" w:rsidP="006854B5">
      <w:pPr>
        <w:pStyle w:val="Tekstpodstawowy3"/>
        <w:spacing w:after="0"/>
        <w:jc w:val="both"/>
        <w:rPr>
          <w:rFonts w:asciiTheme="minorHAnsi" w:hAnsiTheme="minorHAnsi" w:cstheme="minorHAnsi"/>
        </w:rPr>
      </w:pPr>
    </w:p>
    <w:p w14:paraId="6BA90106" w14:textId="77777777" w:rsidR="00377D78" w:rsidRPr="007B453D" w:rsidRDefault="00377D78" w:rsidP="00377D78">
      <w:pPr>
        <w:pStyle w:val="Tekstpodstawowy"/>
        <w:rPr>
          <w:rFonts w:asciiTheme="minorHAnsi" w:hAnsiTheme="minorHAnsi" w:cstheme="minorHAnsi"/>
          <w:color w:val="auto"/>
          <w:sz w:val="24"/>
          <w:szCs w:val="24"/>
        </w:rPr>
      </w:pPr>
      <w:r w:rsidRPr="007B453D">
        <w:rPr>
          <w:rFonts w:asciiTheme="minorHAnsi" w:hAnsiTheme="minorHAnsi" w:cstheme="minorHAnsi"/>
          <w:color w:val="auto"/>
          <w:sz w:val="24"/>
          <w:szCs w:val="24"/>
        </w:rPr>
        <w:t>Marzena Mysior-Syczuk</w:t>
      </w:r>
    </w:p>
    <w:p w14:paraId="4D992C27" w14:textId="77777777" w:rsidR="00377D78" w:rsidRPr="007B453D" w:rsidRDefault="00377D78" w:rsidP="00377D78">
      <w:pPr>
        <w:pStyle w:val="Tekstpodstawowy"/>
        <w:rPr>
          <w:rFonts w:asciiTheme="minorHAnsi" w:hAnsiTheme="minorHAnsi" w:cstheme="minorHAnsi"/>
          <w:color w:val="auto"/>
          <w:sz w:val="24"/>
          <w:szCs w:val="24"/>
          <w:lang w:eastAsia="en-US"/>
        </w:rPr>
      </w:pPr>
      <w:r w:rsidRPr="007B453D">
        <w:rPr>
          <w:rFonts w:asciiTheme="minorHAnsi" w:hAnsiTheme="minorHAnsi" w:cstheme="minorHAnsi"/>
          <w:color w:val="auto"/>
          <w:sz w:val="24"/>
          <w:szCs w:val="24"/>
          <w:lang w:eastAsia="en-US"/>
        </w:rPr>
        <w:t xml:space="preserve">Senior Public Relations </w:t>
      </w:r>
      <w:proofErr w:type="spellStart"/>
      <w:r w:rsidRPr="007B453D">
        <w:rPr>
          <w:rFonts w:asciiTheme="minorHAnsi" w:hAnsiTheme="minorHAnsi" w:cstheme="minorHAnsi"/>
          <w:color w:val="auto"/>
          <w:sz w:val="24"/>
          <w:szCs w:val="24"/>
          <w:lang w:eastAsia="en-US"/>
        </w:rPr>
        <w:t>Specialist</w:t>
      </w:r>
      <w:proofErr w:type="spellEnd"/>
    </w:p>
    <w:p w14:paraId="083FC071" w14:textId="77777777" w:rsidR="00377D78" w:rsidRPr="007B453D" w:rsidRDefault="00377D78" w:rsidP="00377D78">
      <w:pPr>
        <w:pStyle w:val="Tekstpodstawowy"/>
        <w:rPr>
          <w:rFonts w:asciiTheme="minorHAnsi" w:hAnsiTheme="minorHAnsi" w:cstheme="minorHAnsi"/>
          <w:color w:val="auto"/>
          <w:sz w:val="24"/>
          <w:szCs w:val="24"/>
          <w:lang w:val="en-US"/>
        </w:rPr>
      </w:pPr>
      <w:r w:rsidRPr="007B453D">
        <w:rPr>
          <w:rFonts w:asciiTheme="minorHAnsi" w:hAnsiTheme="minorHAnsi" w:cstheme="minorHAnsi"/>
          <w:color w:val="auto"/>
          <w:sz w:val="24"/>
          <w:szCs w:val="24"/>
          <w:lang w:val="en-US"/>
        </w:rPr>
        <w:t>Grupa PSB Handel S.A.</w:t>
      </w:r>
    </w:p>
    <w:p w14:paraId="3E172794" w14:textId="77777777" w:rsidR="00377D78" w:rsidRPr="007B453D" w:rsidRDefault="00377D78" w:rsidP="00377D78">
      <w:pPr>
        <w:pStyle w:val="Stopka"/>
        <w:rPr>
          <w:rFonts w:asciiTheme="minorHAnsi" w:hAnsiTheme="minorHAnsi" w:cstheme="minorHAnsi"/>
          <w:i/>
        </w:rPr>
      </w:pPr>
      <w:r w:rsidRPr="007B453D">
        <w:rPr>
          <w:rFonts w:asciiTheme="minorHAnsi" w:hAnsiTheme="minorHAnsi" w:cstheme="minorHAnsi"/>
          <w:i/>
        </w:rPr>
        <w:t xml:space="preserve">tel. +48 41 / 378 52 23, 608 517 617, </w:t>
      </w:r>
    </w:p>
    <w:p w14:paraId="19563634" w14:textId="77777777" w:rsidR="00377D78" w:rsidRPr="007B453D" w:rsidRDefault="00377D78" w:rsidP="00377D78">
      <w:pPr>
        <w:pStyle w:val="Stopka"/>
        <w:rPr>
          <w:rFonts w:asciiTheme="minorHAnsi" w:hAnsiTheme="minorHAnsi" w:cstheme="minorHAnsi"/>
          <w:i/>
          <w:lang w:val="fr-FR"/>
        </w:rPr>
      </w:pPr>
      <w:r w:rsidRPr="007B453D">
        <w:rPr>
          <w:rFonts w:asciiTheme="minorHAnsi" w:hAnsiTheme="minorHAnsi" w:cstheme="minorHAnsi"/>
          <w:i/>
          <w:lang w:val="fr-FR"/>
        </w:rPr>
        <w:t xml:space="preserve">e-mail: </w:t>
      </w:r>
      <w:r>
        <w:fldChar w:fldCharType="begin"/>
      </w:r>
      <w:r>
        <w:instrText>HYPERLINK "mailto:Marzena.Syczuk@centralapsb.pl"</w:instrText>
      </w:r>
      <w:r>
        <w:fldChar w:fldCharType="separate"/>
      </w:r>
      <w:r w:rsidRPr="007B453D">
        <w:rPr>
          <w:rStyle w:val="Hipercze"/>
          <w:rFonts w:asciiTheme="minorHAnsi" w:eastAsiaTheme="majorEastAsia" w:hAnsiTheme="minorHAnsi" w:cstheme="minorHAnsi"/>
          <w:i/>
          <w:lang w:val="fr-FR"/>
        </w:rPr>
        <w:t>Marzena.Syczuk@centralapsb.pl</w:t>
      </w:r>
      <w:r>
        <w:fldChar w:fldCharType="end"/>
      </w:r>
    </w:p>
    <w:p w14:paraId="10C67496" w14:textId="77777777" w:rsidR="00377D78" w:rsidRPr="007B453D" w:rsidRDefault="00377D78" w:rsidP="00377D78">
      <w:pPr>
        <w:pStyle w:val="Tekstpodstawowy"/>
        <w:rPr>
          <w:rFonts w:asciiTheme="minorHAnsi" w:hAnsiTheme="minorHAnsi" w:cstheme="minorHAnsi"/>
          <w:color w:val="auto"/>
          <w:sz w:val="24"/>
          <w:szCs w:val="24"/>
          <w:lang w:val="en-US"/>
        </w:rPr>
      </w:pPr>
    </w:p>
    <w:p w14:paraId="07D23D3E" w14:textId="77777777" w:rsidR="00CE0FBB" w:rsidRPr="005B53E1" w:rsidRDefault="00CE0FBB" w:rsidP="00CE0FBB">
      <w:pPr>
        <w:pStyle w:val="NormalnyWeb"/>
        <w:spacing w:before="0" w:beforeAutospacing="0" w:after="160" w:afterAutospacing="0"/>
        <w:jc w:val="both"/>
      </w:pPr>
      <w:r w:rsidRPr="005B53E1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O Grupie PSB</w:t>
      </w:r>
    </w:p>
    <w:p w14:paraId="27842DBF" w14:textId="77777777" w:rsidR="00CE0FBB" w:rsidRPr="005B53E1" w:rsidRDefault="00CE0FBB" w:rsidP="00CE0FBB">
      <w:pPr>
        <w:pStyle w:val="NormalnyWeb"/>
        <w:spacing w:before="0" w:beforeAutospacing="0" w:after="160" w:afterAutospacing="0"/>
        <w:jc w:val="both"/>
      </w:pPr>
      <w:r w:rsidRPr="005B53E1">
        <w:rPr>
          <w:rFonts w:ascii="Calibri" w:hAnsi="Calibri" w:cs="Calibri"/>
          <w:i/>
          <w:iCs/>
          <w:color w:val="000000"/>
          <w:sz w:val="22"/>
          <w:szCs w:val="22"/>
        </w:rPr>
        <w:t>Federacja PSB to organizacja zrzeszająca niezależnych przedsiębiorców z całej Polski, którzy od ponad 28 lat wspólnie budują jedną z największych sieci handlowych w kraju w branży budowlanej oraz DIY. Łącząc siłę ogólnopolskiej organizacji z doświadczeniem lokalnych firm rodzinnych, Federacja zapewnia klientom szeroki dostęp do materiałów budowlanych oraz produktów do domu i ogrodu.</w:t>
      </w:r>
    </w:p>
    <w:p w14:paraId="14DBB109" w14:textId="77777777" w:rsidR="00CE0FBB" w:rsidRPr="005B53E1" w:rsidRDefault="00CE0FBB" w:rsidP="00CE0FBB">
      <w:pPr>
        <w:pStyle w:val="NormalnyWeb"/>
        <w:spacing w:before="0" w:beforeAutospacing="0" w:after="160" w:afterAutospacing="0"/>
        <w:jc w:val="both"/>
      </w:pPr>
      <w:r w:rsidRPr="005B53E1">
        <w:rPr>
          <w:rFonts w:ascii="Calibri" w:hAnsi="Calibri" w:cs="Calibri"/>
          <w:i/>
          <w:iCs/>
          <w:color w:val="000000"/>
          <w:sz w:val="22"/>
          <w:szCs w:val="22"/>
        </w:rPr>
        <w:t xml:space="preserve">Obecnie Federację tworzy ponad 400 firm prowadzących działalność w 274 składach budowlanych, 420 marketach PSB Mrówka oraz 80 placówkach PSB </w:t>
      </w:r>
      <w:proofErr w:type="spellStart"/>
      <w:r w:rsidRPr="005B53E1">
        <w:rPr>
          <w:rFonts w:ascii="Calibri" w:hAnsi="Calibri" w:cs="Calibri"/>
          <w:i/>
          <w:iCs/>
          <w:color w:val="000000"/>
          <w:sz w:val="22"/>
          <w:szCs w:val="22"/>
        </w:rPr>
        <w:t>Profi</w:t>
      </w:r>
      <w:proofErr w:type="spellEnd"/>
      <w:r w:rsidRPr="005B53E1">
        <w:rPr>
          <w:rFonts w:ascii="Calibri" w:hAnsi="Calibri" w:cs="Calibri"/>
          <w:i/>
          <w:iCs/>
          <w:color w:val="000000"/>
          <w:sz w:val="22"/>
          <w:szCs w:val="22"/>
        </w:rPr>
        <w:t>. Sieć obejmuje ponad 90% powiatów w Polsce, dzięki czemu dociera do niemal każdego mieszkańca kraju, a łączne zatrudnienie w firmach partnerskich wynosi około 14 tys. osób.</w:t>
      </w:r>
    </w:p>
    <w:p w14:paraId="132E32FD" w14:textId="08129525" w:rsidR="00A44D97" w:rsidRPr="005B53E1" w:rsidRDefault="00CE0FBB" w:rsidP="005B53E1">
      <w:pPr>
        <w:pStyle w:val="NormalnyWeb"/>
        <w:spacing w:before="0" w:beforeAutospacing="0" w:after="160" w:afterAutospacing="0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5B53E1">
        <w:rPr>
          <w:rFonts w:ascii="Calibri" w:hAnsi="Calibri" w:cs="Calibri"/>
          <w:i/>
          <w:iCs/>
          <w:color w:val="000000"/>
          <w:sz w:val="22"/>
          <w:szCs w:val="22"/>
        </w:rPr>
        <w:t>W 2025 roku łączne przychody Partnerów PSB ze sprzedaży materiałów budowlanych oraz produktów do domu i ogrodu wyniosły 9,3 mld zł, co oznacza wzrost o 1,9% rok do roku</w:t>
      </w:r>
      <w:r w:rsidR="005B53E1" w:rsidRPr="005B53E1">
        <w:rPr>
          <w:rFonts w:ascii="Calibri" w:hAnsi="Calibri" w:cs="Calibri"/>
          <w:i/>
          <w:iCs/>
          <w:color w:val="000000"/>
          <w:sz w:val="22"/>
          <w:szCs w:val="22"/>
        </w:rPr>
        <w:t>.</w:t>
      </w:r>
    </w:p>
    <w:sectPr w:rsidR="00A44D97" w:rsidRPr="005B53E1" w:rsidSect="00DE2510">
      <w:headerReference w:type="default" r:id="rId11"/>
      <w:footerReference w:type="default" r:id="rId12"/>
      <w:pgSz w:w="11906" w:h="16838" w:code="9"/>
      <w:pgMar w:top="1418" w:right="1418" w:bottom="1418" w:left="1418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133A7" w14:textId="77777777" w:rsidR="005B16C0" w:rsidRDefault="005B16C0" w:rsidP="00C24C02">
      <w:r>
        <w:separator/>
      </w:r>
    </w:p>
  </w:endnote>
  <w:endnote w:type="continuationSeparator" w:id="0">
    <w:p w14:paraId="2F9AF3F7" w14:textId="77777777" w:rsidR="005B16C0" w:rsidRDefault="005B16C0" w:rsidP="00C2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36820" w14:textId="77777777" w:rsidR="00C24C02" w:rsidRDefault="00F325A4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0808BB" wp14:editId="2843C3E1">
          <wp:simplePos x="0" y="0"/>
          <wp:positionH relativeFrom="page">
            <wp:posOffset>9525</wp:posOffset>
          </wp:positionH>
          <wp:positionV relativeFrom="page">
            <wp:align>bottom</wp:align>
          </wp:positionV>
          <wp:extent cx="7562850" cy="920115"/>
          <wp:effectExtent l="0" t="0" r="0" b="0"/>
          <wp:wrapThrough wrapText="bothSides">
            <wp:wrapPolygon edited="0">
              <wp:start x="0" y="0"/>
              <wp:lineTo x="0" y="21019"/>
              <wp:lineTo x="21546" y="21019"/>
              <wp:lineTo x="21546" y="0"/>
              <wp:lineTo x="0" y="0"/>
            </wp:wrapPolygon>
          </wp:wrapThrough>
          <wp:docPr id="118934079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0524736" name="Obraz 13805247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920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E9EEC" w14:textId="77777777" w:rsidR="005B16C0" w:rsidRDefault="005B16C0" w:rsidP="00C24C02">
      <w:r>
        <w:separator/>
      </w:r>
    </w:p>
  </w:footnote>
  <w:footnote w:type="continuationSeparator" w:id="0">
    <w:p w14:paraId="74F0238D" w14:textId="77777777" w:rsidR="005B16C0" w:rsidRDefault="005B16C0" w:rsidP="00C24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2627D" w14:textId="77777777" w:rsidR="00F325A4" w:rsidRDefault="00F325A4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ECF5915" wp14:editId="0399596B">
          <wp:simplePos x="0" y="0"/>
          <wp:positionH relativeFrom="margin">
            <wp:posOffset>643255</wp:posOffset>
          </wp:positionH>
          <wp:positionV relativeFrom="page">
            <wp:posOffset>323850</wp:posOffset>
          </wp:positionV>
          <wp:extent cx="4755515" cy="436880"/>
          <wp:effectExtent l="0" t="0" r="6985" b="1270"/>
          <wp:wrapSquare wrapText="bothSides"/>
          <wp:docPr id="11321922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975495" name="Obraz 3269754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5515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9948A7" w14:textId="77777777" w:rsidR="00C24C02" w:rsidRDefault="00C24C02">
    <w:pPr>
      <w:pStyle w:val="Nagwek"/>
    </w:pPr>
  </w:p>
  <w:p w14:paraId="7084F014" w14:textId="77777777" w:rsidR="00C24C02" w:rsidRDefault="00C24C0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2E"/>
    <w:rsid w:val="0001116F"/>
    <w:rsid w:val="00014735"/>
    <w:rsid w:val="000615F5"/>
    <w:rsid w:val="00065430"/>
    <w:rsid w:val="00073174"/>
    <w:rsid w:val="00086BD0"/>
    <w:rsid w:val="000B1AE1"/>
    <w:rsid w:val="000B2732"/>
    <w:rsid w:val="000D3DCD"/>
    <w:rsid w:val="000F2CD0"/>
    <w:rsid w:val="000F6A57"/>
    <w:rsid w:val="00116810"/>
    <w:rsid w:val="001215C5"/>
    <w:rsid w:val="00126EE7"/>
    <w:rsid w:val="001339AD"/>
    <w:rsid w:val="00142007"/>
    <w:rsid w:val="001555DF"/>
    <w:rsid w:val="0015665A"/>
    <w:rsid w:val="00187566"/>
    <w:rsid w:val="001904FF"/>
    <w:rsid w:val="001B1562"/>
    <w:rsid w:val="001B4760"/>
    <w:rsid w:val="001C0E57"/>
    <w:rsid w:val="001C152A"/>
    <w:rsid w:val="001D424F"/>
    <w:rsid w:val="001F28DD"/>
    <w:rsid w:val="001F45A4"/>
    <w:rsid w:val="001F7CF2"/>
    <w:rsid w:val="00227636"/>
    <w:rsid w:val="00227686"/>
    <w:rsid w:val="0023538B"/>
    <w:rsid w:val="002420C1"/>
    <w:rsid w:val="0024652C"/>
    <w:rsid w:val="002522CF"/>
    <w:rsid w:val="0026356C"/>
    <w:rsid w:val="00270507"/>
    <w:rsid w:val="00271D99"/>
    <w:rsid w:val="00273086"/>
    <w:rsid w:val="00275884"/>
    <w:rsid w:val="002777E2"/>
    <w:rsid w:val="00285359"/>
    <w:rsid w:val="00296008"/>
    <w:rsid w:val="002B6EEB"/>
    <w:rsid w:val="002C348B"/>
    <w:rsid w:val="002C58EA"/>
    <w:rsid w:val="0032293C"/>
    <w:rsid w:val="003251B1"/>
    <w:rsid w:val="0032537A"/>
    <w:rsid w:val="00325D18"/>
    <w:rsid w:val="003424D6"/>
    <w:rsid w:val="003614C0"/>
    <w:rsid w:val="00377D78"/>
    <w:rsid w:val="00381F97"/>
    <w:rsid w:val="00385FF3"/>
    <w:rsid w:val="00392B38"/>
    <w:rsid w:val="003952C6"/>
    <w:rsid w:val="003A0489"/>
    <w:rsid w:val="003B1289"/>
    <w:rsid w:val="003D3D4C"/>
    <w:rsid w:val="003D5B76"/>
    <w:rsid w:val="003D7FE9"/>
    <w:rsid w:val="003E4766"/>
    <w:rsid w:val="003E5433"/>
    <w:rsid w:val="003F55A2"/>
    <w:rsid w:val="00405A30"/>
    <w:rsid w:val="00424B7D"/>
    <w:rsid w:val="004327F2"/>
    <w:rsid w:val="00433230"/>
    <w:rsid w:val="00436046"/>
    <w:rsid w:val="00463DB8"/>
    <w:rsid w:val="0047080D"/>
    <w:rsid w:val="00475594"/>
    <w:rsid w:val="004779F5"/>
    <w:rsid w:val="0048398B"/>
    <w:rsid w:val="0049018D"/>
    <w:rsid w:val="004A7805"/>
    <w:rsid w:val="004E2427"/>
    <w:rsid w:val="004F26DA"/>
    <w:rsid w:val="004F2C03"/>
    <w:rsid w:val="004F398E"/>
    <w:rsid w:val="00506256"/>
    <w:rsid w:val="0051091A"/>
    <w:rsid w:val="00516C69"/>
    <w:rsid w:val="00531D68"/>
    <w:rsid w:val="00537BD3"/>
    <w:rsid w:val="00584536"/>
    <w:rsid w:val="005B16C0"/>
    <w:rsid w:val="005B53E1"/>
    <w:rsid w:val="005C0332"/>
    <w:rsid w:val="005C0B18"/>
    <w:rsid w:val="005C1AEB"/>
    <w:rsid w:val="00622231"/>
    <w:rsid w:val="0062580C"/>
    <w:rsid w:val="00626274"/>
    <w:rsid w:val="00646582"/>
    <w:rsid w:val="00650B6C"/>
    <w:rsid w:val="006566B5"/>
    <w:rsid w:val="00657E1D"/>
    <w:rsid w:val="00661E8E"/>
    <w:rsid w:val="00671960"/>
    <w:rsid w:val="00672AE1"/>
    <w:rsid w:val="00680950"/>
    <w:rsid w:val="00680A09"/>
    <w:rsid w:val="006854B5"/>
    <w:rsid w:val="00692AB8"/>
    <w:rsid w:val="006A14D4"/>
    <w:rsid w:val="006A2331"/>
    <w:rsid w:val="006A4306"/>
    <w:rsid w:val="006D1286"/>
    <w:rsid w:val="006F3BE5"/>
    <w:rsid w:val="006F5C66"/>
    <w:rsid w:val="006F61F8"/>
    <w:rsid w:val="00706647"/>
    <w:rsid w:val="00722E0E"/>
    <w:rsid w:val="00727A73"/>
    <w:rsid w:val="00737FE9"/>
    <w:rsid w:val="00767FD4"/>
    <w:rsid w:val="0078717C"/>
    <w:rsid w:val="007B453D"/>
    <w:rsid w:val="007C0A74"/>
    <w:rsid w:val="007F367D"/>
    <w:rsid w:val="008006B0"/>
    <w:rsid w:val="008039FE"/>
    <w:rsid w:val="00806893"/>
    <w:rsid w:val="008157A5"/>
    <w:rsid w:val="008252A6"/>
    <w:rsid w:val="0082593F"/>
    <w:rsid w:val="008574CE"/>
    <w:rsid w:val="0086728C"/>
    <w:rsid w:val="008770E6"/>
    <w:rsid w:val="00890537"/>
    <w:rsid w:val="008B1438"/>
    <w:rsid w:val="008B3BA4"/>
    <w:rsid w:val="008C0D7D"/>
    <w:rsid w:val="008D6EA6"/>
    <w:rsid w:val="008E091D"/>
    <w:rsid w:val="008F56BA"/>
    <w:rsid w:val="00900C7E"/>
    <w:rsid w:val="0090439F"/>
    <w:rsid w:val="00925F68"/>
    <w:rsid w:val="00941D7B"/>
    <w:rsid w:val="009615FA"/>
    <w:rsid w:val="00970A36"/>
    <w:rsid w:val="0098121F"/>
    <w:rsid w:val="00982AC9"/>
    <w:rsid w:val="009B308C"/>
    <w:rsid w:val="009C0B42"/>
    <w:rsid w:val="009C32A5"/>
    <w:rsid w:val="009C37D0"/>
    <w:rsid w:val="009D3BE0"/>
    <w:rsid w:val="009E0D12"/>
    <w:rsid w:val="009F3ADB"/>
    <w:rsid w:val="009F6916"/>
    <w:rsid w:val="00A0634C"/>
    <w:rsid w:val="00A2275E"/>
    <w:rsid w:val="00A23F2E"/>
    <w:rsid w:val="00A250DA"/>
    <w:rsid w:val="00A2576E"/>
    <w:rsid w:val="00A260E7"/>
    <w:rsid w:val="00A41D66"/>
    <w:rsid w:val="00A44D97"/>
    <w:rsid w:val="00A47898"/>
    <w:rsid w:val="00A57E6E"/>
    <w:rsid w:val="00A66A0C"/>
    <w:rsid w:val="00A77F5C"/>
    <w:rsid w:val="00A90CDF"/>
    <w:rsid w:val="00AB244F"/>
    <w:rsid w:val="00AB3CDB"/>
    <w:rsid w:val="00AC380D"/>
    <w:rsid w:val="00AE0A8C"/>
    <w:rsid w:val="00AE3C4A"/>
    <w:rsid w:val="00AE6FC9"/>
    <w:rsid w:val="00AE77E8"/>
    <w:rsid w:val="00AF529C"/>
    <w:rsid w:val="00AF61BB"/>
    <w:rsid w:val="00B00376"/>
    <w:rsid w:val="00B10B85"/>
    <w:rsid w:val="00B46F4E"/>
    <w:rsid w:val="00B47A6D"/>
    <w:rsid w:val="00B544BB"/>
    <w:rsid w:val="00B609B8"/>
    <w:rsid w:val="00B6189A"/>
    <w:rsid w:val="00B831C9"/>
    <w:rsid w:val="00B91A3C"/>
    <w:rsid w:val="00B9526B"/>
    <w:rsid w:val="00B95357"/>
    <w:rsid w:val="00B96526"/>
    <w:rsid w:val="00BC024B"/>
    <w:rsid w:val="00BC03D0"/>
    <w:rsid w:val="00BD4D8F"/>
    <w:rsid w:val="00BD7D3B"/>
    <w:rsid w:val="00BE0E08"/>
    <w:rsid w:val="00BF54F1"/>
    <w:rsid w:val="00C00098"/>
    <w:rsid w:val="00C010FF"/>
    <w:rsid w:val="00C20C09"/>
    <w:rsid w:val="00C231B2"/>
    <w:rsid w:val="00C24C02"/>
    <w:rsid w:val="00C35714"/>
    <w:rsid w:val="00C37551"/>
    <w:rsid w:val="00C42320"/>
    <w:rsid w:val="00C451AA"/>
    <w:rsid w:val="00C506C0"/>
    <w:rsid w:val="00C53B8F"/>
    <w:rsid w:val="00C60A8D"/>
    <w:rsid w:val="00C63B10"/>
    <w:rsid w:val="00C97FE2"/>
    <w:rsid w:val="00CA69D4"/>
    <w:rsid w:val="00CC2800"/>
    <w:rsid w:val="00CC6C10"/>
    <w:rsid w:val="00CD2287"/>
    <w:rsid w:val="00CD5F65"/>
    <w:rsid w:val="00CE0FBB"/>
    <w:rsid w:val="00CE3DD3"/>
    <w:rsid w:val="00CE7B62"/>
    <w:rsid w:val="00CE7C4C"/>
    <w:rsid w:val="00D01DAE"/>
    <w:rsid w:val="00D111CB"/>
    <w:rsid w:val="00D15771"/>
    <w:rsid w:val="00D318D7"/>
    <w:rsid w:val="00D45620"/>
    <w:rsid w:val="00D53452"/>
    <w:rsid w:val="00D83219"/>
    <w:rsid w:val="00D8719A"/>
    <w:rsid w:val="00D97CF5"/>
    <w:rsid w:val="00DC790C"/>
    <w:rsid w:val="00DE2510"/>
    <w:rsid w:val="00DE313E"/>
    <w:rsid w:val="00E01255"/>
    <w:rsid w:val="00E2016E"/>
    <w:rsid w:val="00E50646"/>
    <w:rsid w:val="00E55C7B"/>
    <w:rsid w:val="00E563D7"/>
    <w:rsid w:val="00E92E01"/>
    <w:rsid w:val="00E946F7"/>
    <w:rsid w:val="00EA69C2"/>
    <w:rsid w:val="00EB3C00"/>
    <w:rsid w:val="00ED428B"/>
    <w:rsid w:val="00EE2DE8"/>
    <w:rsid w:val="00EF5F29"/>
    <w:rsid w:val="00EF7D40"/>
    <w:rsid w:val="00F17A72"/>
    <w:rsid w:val="00F325A4"/>
    <w:rsid w:val="00F62C4E"/>
    <w:rsid w:val="00F72998"/>
    <w:rsid w:val="00FA206D"/>
    <w:rsid w:val="00FA307A"/>
    <w:rsid w:val="00FA41B8"/>
    <w:rsid w:val="00FB7953"/>
    <w:rsid w:val="00FC5AC7"/>
    <w:rsid w:val="00FD75BA"/>
    <w:rsid w:val="00FE123A"/>
    <w:rsid w:val="00FE6D58"/>
    <w:rsid w:val="00FE6D7F"/>
    <w:rsid w:val="00FF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F61306"/>
  <w15:chartTrackingRefBased/>
  <w15:docId w15:val="{DF25AE85-E78D-464C-9315-686D6772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7D7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28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C28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08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C28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C24C02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C24C02"/>
    <w:rPr>
      <w:rFonts w:eastAsiaTheme="minorEastAsia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24C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4C02"/>
  </w:style>
  <w:style w:type="paragraph" w:styleId="Stopka">
    <w:name w:val="footer"/>
    <w:basedOn w:val="Normalny"/>
    <w:link w:val="StopkaZnak"/>
    <w:unhideWhenUsed/>
    <w:rsid w:val="00C24C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4C02"/>
  </w:style>
  <w:style w:type="paragraph" w:styleId="Tytu">
    <w:name w:val="Title"/>
    <w:basedOn w:val="Normalny"/>
    <w:link w:val="TytuZnak"/>
    <w:uiPriority w:val="10"/>
    <w:qFormat/>
    <w:rsid w:val="00AE3C4A"/>
    <w:pPr>
      <w:widowControl w:val="0"/>
      <w:autoSpaceDE w:val="0"/>
      <w:autoSpaceDN w:val="0"/>
      <w:spacing w:before="4"/>
    </w:pPr>
    <w:rPr>
      <w:lang w:val="en-US"/>
    </w:rPr>
  </w:style>
  <w:style w:type="character" w:customStyle="1" w:styleId="TytuZnak">
    <w:name w:val="Tytuł Znak"/>
    <w:basedOn w:val="Domylnaczcionkaakapitu"/>
    <w:link w:val="Tytu"/>
    <w:uiPriority w:val="10"/>
    <w:rsid w:val="00AE3C4A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CC280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CC280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CC2800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table" w:styleId="Tabelasiatki1jasnaakcent1">
    <w:name w:val="Grid Table 1 Light Accent 1"/>
    <w:basedOn w:val="Standardowy"/>
    <w:uiPriority w:val="46"/>
    <w:rsid w:val="00CC280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odstawowy">
    <w:name w:val="Body Text"/>
    <w:basedOn w:val="Normalny"/>
    <w:link w:val="TekstpodstawowyZnak"/>
    <w:rsid w:val="00377D78"/>
    <w:pPr>
      <w:jc w:val="both"/>
    </w:pPr>
    <w:rPr>
      <w:color w:val="3366FF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77D78"/>
    <w:rPr>
      <w:rFonts w:ascii="Times New Roman" w:eastAsia="Times New Roman" w:hAnsi="Times New Roman" w:cs="Times New Roman"/>
      <w:color w:val="3366FF"/>
      <w:kern w:val="0"/>
      <w:sz w:val="28"/>
      <w:szCs w:val="20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377D7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77D78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377D78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080D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650B6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omylnaczcionkaakapitu"/>
    <w:rsid w:val="001F2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9776850E70242BAFE1999A139BB61" ma:contentTypeVersion="6" ma:contentTypeDescription="Utwórz nowy dokument." ma:contentTypeScope="" ma:versionID="0d94f1970a1c9beb7ec4244291d4197d">
  <xsd:schema xmlns:xsd="http://www.w3.org/2001/XMLSchema" xmlns:xs="http://www.w3.org/2001/XMLSchema" xmlns:p="http://schemas.microsoft.com/office/2006/metadata/properties" xmlns:ns3="33d8eb9e-2c3e-43af-bf67-0486aa7e7983" targetNamespace="http://schemas.microsoft.com/office/2006/metadata/properties" ma:root="true" ma:fieldsID="c84678800640ba9056ae7be7a73ae39c" ns3:_="">
    <xsd:import namespace="33d8eb9e-2c3e-43af-bf67-0486aa7e798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8eb9e-2c3e-43af-bf67-0486aa7e798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3d8eb9e-2c3e-43af-bf67-0486aa7e7983" xsi:nil="true"/>
  </documentManagement>
</p:properties>
</file>

<file path=customXml/itemProps1.xml><?xml version="1.0" encoding="utf-8"?>
<ds:datastoreItem xmlns:ds="http://schemas.openxmlformats.org/officeDocument/2006/customXml" ds:itemID="{A2B7063C-2E9E-4104-9025-DCD85215AC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05CF46-810E-4D5C-8258-0877FA7080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d8eb9e-2c3e-43af-bf67-0486aa7e79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485294-5976-4946-B4FC-AE380F865A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5CC882-F50D-42F8-858F-C686F5AD7112}">
  <ds:schemaRefs>
    <ds:schemaRef ds:uri="http://schemas.microsoft.com/office/2006/metadata/properties"/>
    <ds:schemaRef ds:uri="http://schemas.microsoft.com/office/infopath/2007/PartnerControls"/>
    <ds:schemaRef ds:uri="33d8eb9e-2c3e-43af-bf67-0486aa7e79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543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Syczuk</dc:creator>
  <cp:keywords/>
  <dc:description/>
  <cp:lastModifiedBy>Marzena Syczuk</cp:lastModifiedBy>
  <cp:revision>113</cp:revision>
  <dcterms:created xsi:type="dcterms:W3CDTF">2024-11-28T07:52:00Z</dcterms:created>
  <dcterms:modified xsi:type="dcterms:W3CDTF">2026-10-02T12:11:00Z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0x0101000989776850E70242BAFE1999A139BB61</vt:lpwstr>
  </property>
</Properties>
</file>